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C996" w14:textId="6668A591" w:rsidR="67BC6CA3" w:rsidRDefault="67BC6CA3" w:rsidP="67BC6CA3"/>
    <w:p w14:paraId="3E6C3CF5" w14:textId="77777777" w:rsidR="00D7116C" w:rsidRDefault="00D7116C" w:rsidP="00D7116C">
      <w:pPr>
        <w:rPr>
          <w:b/>
          <w:bCs/>
        </w:rPr>
      </w:pPr>
    </w:p>
    <w:p w14:paraId="08092E4E" w14:textId="77777777" w:rsidR="00D7116C" w:rsidRDefault="00D7116C" w:rsidP="00D7116C">
      <w:pPr>
        <w:rPr>
          <w:rFonts w:cs="Arial"/>
          <w:b/>
          <w:bCs/>
          <w:color w:val="15174A" w:themeColor="accent1" w:themeShade="BF"/>
          <w:sz w:val="44"/>
          <w:szCs w:val="44"/>
        </w:rPr>
      </w:pPr>
      <w:r>
        <w:rPr>
          <w:rFonts w:cs="Arial"/>
          <w:b/>
          <w:bCs/>
          <w:color w:val="15174A" w:themeColor="accent1" w:themeShade="BF"/>
          <w:sz w:val="44"/>
          <w:szCs w:val="44"/>
        </w:rPr>
        <w:t xml:space="preserve">BNSSG ICB </w:t>
      </w:r>
      <w:r w:rsidRPr="00445347">
        <w:rPr>
          <w:rFonts w:cs="Arial"/>
          <w:b/>
          <w:bCs/>
          <w:color w:val="15174A" w:themeColor="accent1" w:themeShade="BF"/>
          <w:sz w:val="44"/>
          <w:szCs w:val="44"/>
        </w:rPr>
        <w:t>Academic Career Award</w:t>
      </w:r>
      <w:r>
        <w:rPr>
          <w:rFonts w:cs="Arial"/>
          <w:b/>
          <w:bCs/>
          <w:color w:val="15174A" w:themeColor="accent1" w:themeShade="BF"/>
          <w:sz w:val="44"/>
          <w:szCs w:val="44"/>
        </w:rPr>
        <w:t xml:space="preserve"> (ACA) Guidance</w:t>
      </w:r>
    </w:p>
    <w:p w14:paraId="63422CC4" w14:textId="77777777" w:rsidR="00D7116C" w:rsidRDefault="00D7116C" w:rsidP="00D7116C">
      <w:pPr>
        <w:rPr>
          <w:rFonts w:cs="Arial"/>
          <w:b/>
          <w:bCs/>
          <w:color w:val="15174A" w:themeColor="accent1" w:themeShade="BF"/>
          <w:sz w:val="44"/>
          <w:szCs w:val="44"/>
        </w:rPr>
      </w:pPr>
    </w:p>
    <w:p w14:paraId="7CBC5183" w14:textId="77777777" w:rsidR="00D7116C" w:rsidRDefault="00D7116C" w:rsidP="00D7116C">
      <w:pPr>
        <w:rPr>
          <w:rFonts w:cs="Arial"/>
          <w:b/>
          <w:bCs/>
          <w:color w:val="15174A" w:themeColor="accent1" w:themeShade="BF"/>
          <w:sz w:val="44"/>
          <w:szCs w:val="44"/>
        </w:rPr>
      </w:pPr>
    </w:p>
    <w:p w14:paraId="5F900786" w14:textId="77777777" w:rsidR="00D7116C" w:rsidRDefault="00D7116C" w:rsidP="00D7116C">
      <w:pPr>
        <w:rPr>
          <w:rFonts w:cs="Arial"/>
          <w:b/>
          <w:bCs/>
          <w:color w:val="15174A" w:themeColor="accent1" w:themeShade="BF"/>
          <w:sz w:val="44"/>
          <w:szCs w:val="44"/>
        </w:rPr>
      </w:pPr>
    </w:p>
    <w:p w14:paraId="337D801D" w14:textId="77777777" w:rsidR="00D7116C" w:rsidRDefault="00D7116C" w:rsidP="00D7116C">
      <w:pPr>
        <w:rPr>
          <w:rFonts w:cs="Arial"/>
          <w:b/>
          <w:bCs/>
          <w:color w:val="15174A" w:themeColor="accent1" w:themeShade="BF"/>
          <w:sz w:val="44"/>
          <w:szCs w:val="44"/>
        </w:rPr>
      </w:pPr>
      <w:r>
        <w:rPr>
          <w:noProof/>
          <w:lang w:eastAsia="en-GB"/>
        </w:rPr>
        <w:drawing>
          <wp:anchor distT="0" distB="0" distL="114300" distR="114300" simplePos="0" relativeHeight="251659264" behindDoc="1" locked="1" layoutInCell="1" allowOverlap="1" wp14:anchorId="1B9F76DF" wp14:editId="0A24E548">
            <wp:simplePos x="0" y="0"/>
            <wp:positionH relativeFrom="margin">
              <wp:align>right</wp:align>
            </wp:positionH>
            <wp:positionV relativeFrom="page">
              <wp:posOffset>2910205</wp:posOffset>
            </wp:positionV>
            <wp:extent cx="6012815" cy="5800725"/>
            <wp:effectExtent l="0" t="0" r="6985" b="9525"/>
            <wp:wrapNone/>
            <wp:docPr id="1" name="Picture 1" descr="A blue and pin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pin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12815" cy="5800725"/>
                    </a:xfrm>
                    <a:prstGeom prst="rect">
                      <a:avLst/>
                    </a:prstGeom>
                  </pic:spPr>
                </pic:pic>
              </a:graphicData>
            </a:graphic>
            <wp14:sizeRelH relativeFrom="margin">
              <wp14:pctWidth>0</wp14:pctWidth>
            </wp14:sizeRelH>
            <wp14:sizeRelV relativeFrom="margin">
              <wp14:pctHeight>0</wp14:pctHeight>
            </wp14:sizeRelV>
          </wp:anchor>
        </w:drawing>
      </w:r>
    </w:p>
    <w:p w14:paraId="70A8A99B" w14:textId="77777777" w:rsidR="00D7116C" w:rsidRDefault="00D7116C" w:rsidP="00D7116C">
      <w:pPr>
        <w:rPr>
          <w:rFonts w:cs="Arial"/>
          <w:b/>
          <w:bCs/>
          <w:color w:val="15174A" w:themeColor="accent1" w:themeShade="BF"/>
          <w:sz w:val="44"/>
          <w:szCs w:val="44"/>
        </w:rPr>
      </w:pPr>
    </w:p>
    <w:p w14:paraId="117F8DAE" w14:textId="77777777" w:rsidR="00D7116C" w:rsidRDefault="00D7116C" w:rsidP="00D7116C">
      <w:pPr>
        <w:rPr>
          <w:rFonts w:cs="Arial"/>
          <w:b/>
          <w:bCs/>
          <w:color w:val="15174A" w:themeColor="accent1" w:themeShade="BF"/>
          <w:sz w:val="44"/>
          <w:szCs w:val="44"/>
        </w:rPr>
      </w:pPr>
    </w:p>
    <w:p w14:paraId="656B151D" w14:textId="77777777" w:rsidR="00D7116C" w:rsidRDefault="00D7116C" w:rsidP="00D7116C">
      <w:pPr>
        <w:rPr>
          <w:rFonts w:cs="Arial"/>
          <w:b/>
          <w:bCs/>
          <w:color w:val="15174A" w:themeColor="accent1" w:themeShade="BF"/>
          <w:sz w:val="44"/>
          <w:szCs w:val="44"/>
        </w:rPr>
      </w:pPr>
    </w:p>
    <w:p w14:paraId="5815EF9F" w14:textId="77777777" w:rsidR="00D7116C" w:rsidRDefault="00D7116C" w:rsidP="00D7116C">
      <w:pPr>
        <w:rPr>
          <w:rFonts w:cs="Arial"/>
          <w:b/>
          <w:bCs/>
          <w:color w:val="15174A" w:themeColor="accent1" w:themeShade="BF"/>
          <w:sz w:val="44"/>
          <w:szCs w:val="44"/>
        </w:rPr>
      </w:pPr>
    </w:p>
    <w:p w14:paraId="5C968ACA" w14:textId="77777777" w:rsidR="00D7116C" w:rsidRDefault="00D7116C" w:rsidP="00D7116C">
      <w:pPr>
        <w:rPr>
          <w:rFonts w:cs="Arial"/>
          <w:b/>
          <w:bCs/>
          <w:color w:val="15174A" w:themeColor="accent1" w:themeShade="BF"/>
          <w:sz w:val="44"/>
          <w:szCs w:val="44"/>
        </w:rPr>
      </w:pPr>
    </w:p>
    <w:p w14:paraId="16575408" w14:textId="77777777" w:rsidR="00D7116C" w:rsidRDefault="00D7116C" w:rsidP="00D7116C">
      <w:pPr>
        <w:rPr>
          <w:rFonts w:cs="Arial"/>
          <w:b/>
          <w:bCs/>
          <w:color w:val="15174A" w:themeColor="accent1" w:themeShade="BF"/>
          <w:sz w:val="44"/>
          <w:szCs w:val="44"/>
        </w:rPr>
      </w:pPr>
    </w:p>
    <w:p w14:paraId="2F3F78EB" w14:textId="77777777" w:rsidR="00D7116C" w:rsidRDefault="00D7116C" w:rsidP="00D7116C">
      <w:pPr>
        <w:rPr>
          <w:rFonts w:cs="Arial"/>
          <w:b/>
          <w:bCs/>
          <w:color w:val="15174A" w:themeColor="accent1" w:themeShade="BF"/>
          <w:sz w:val="44"/>
          <w:szCs w:val="44"/>
        </w:rPr>
      </w:pPr>
    </w:p>
    <w:p w14:paraId="310EAA2F" w14:textId="77777777" w:rsidR="00D7116C" w:rsidRDefault="00D7116C" w:rsidP="00D7116C">
      <w:pPr>
        <w:rPr>
          <w:rFonts w:cs="Arial"/>
          <w:b/>
          <w:bCs/>
          <w:color w:val="15174A" w:themeColor="accent1" w:themeShade="BF"/>
          <w:sz w:val="44"/>
          <w:szCs w:val="44"/>
        </w:rPr>
      </w:pPr>
    </w:p>
    <w:p w14:paraId="1AA3AC9C" w14:textId="77777777" w:rsidR="00D7116C" w:rsidRDefault="00D7116C" w:rsidP="00D7116C">
      <w:pPr>
        <w:rPr>
          <w:rFonts w:cs="Arial"/>
          <w:b/>
          <w:bCs/>
          <w:color w:val="15174A" w:themeColor="accent1" w:themeShade="BF"/>
          <w:sz w:val="44"/>
          <w:szCs w:val="44"/>
        </w:rPr>
      </w:pPr>
    </w:p>
    <w:p w14:paraId="1421A6DB" w14:textId="77777777" w:rsidR="00D7116C" w:rsidRDefault="00D7116C" w:rsidP="00D7116C">
      <w:pPr>
        <w:rPr>
          <w:rFonts w:cs="Arial"/>
          <w:b/>
          <w:bCs/>
          <w:color w:val="15174A" w:themeColor="accent1" w:themeShade="BF"/>
          <w:sz w:val="44"/>
          <w:szCs w:val="44"/>
        </w:rPr>
      </w:pPr>
    </w:p>
    <w:p w14:paraId="6A0ACC4A" w14:textId="77777777" w:rsidR="00D7116C" w:rsidRDefault="00D7116C" w:rsidP="00D7116C">
      <w:pPr>
        <w:rPr>
          <w:rFonts w:cs="Arial"/>
          <w:b/>
          <w:bCs/>
          <w:color w:val="15174A" w:themeColor="accent1" w:themeShade="BF"/>
          <w:sz w:val="44"/>
          <w:szCs w:val="44"/>
        </w:rPr>
      </w:pPr>
    </w:p>
    <w:p w14:paraId="3B4C1D95" w14:textId="77777777" w:rsidR="00D7116C" w:rsidRDefault="00D7116C" w:rsidP="00D7116C">
      <w:pPr>
        <w:rPr>
          <w:rFonts w:cs="Arial"/>
          <w:b/>
          <w:bCs/>
          <w:color w:val="15174A" w:themeColor="accent1" w:themeShade="BF"/>
          <w:sz w:val="44"/>
          <w:szCs w:val="44"/>
        </w:rPr>
      </w:pPr>
    </w:p>
    <w:p w14:paraId="7DCE73D3" w14:textId="77777777" w:rsidR="00D7116C" w:rsidRDefault="00D7116C" w:rsidP="00D7116C">
      <w:pPr>
        <w:rPr>
          <w:rFonts w:cs="Arial"/>
          <w:b/>
          <w:bCs/>
          <w:color w:val="15174A" w:themeColor="accent1" w:themeShade="BF"/>
          <w:sz w:val="44"/>
          <w:szCs w:val="44"/>
        </w:rPr>
      </w:pPr>
    </w:p>
    <w:p w14:paraId="7C8ED935" w14:textId="4C8F19F3" w:rsidR="00D7116C" w:rsidRDefault="00D7116C" w:rsidP="00D7116C">
      <w:pPr>
        <w:rPr>
          <w:rFonts w:cs="Arial"/>
        </w:rPr>
      </w:pPr>
      <w:r w:rsidRPr="00445347">
        <w:rPr>
          <w:rFonts w:cs="Arial"/>
        </w:rPr>
        <w:t xml:space="preserve">BNSSG ICB are pleased to </w:t>
      </w:r>
      <w:r>
        <w:rPr>
          <w:rFonts w:cs="Arial"/>
        </w:rPr>
        <w:t xml:space="preserve">offer </w:t>
      </w:r>
      <w:r w:rsidRPr="00445347">
        <w:rPr>
          <w:rFonts w:cs="Arial"/>
        </w:rPr>
        <w:t>our academic colleagues based in University of Bristol and UWE</w:t>
      </w:r>
      <w:r>
        <w:rPr>
          <w:rFonts w:cs="Arial"/>
        </w:rPr>
        <w:t xml:space="preserve"> </w:t>
      </w:r>
      <w:r w:rsidR="007D4E1C">
        <w:rPr>
          <w:rFonts w:cs="Arial"/>
        </w:rPr>
        <w:t xml:space="preserve">Bristol </w:t>
      </w:r>
      <w:r>
        <w:rPr>
          <w:rFonts w:cs="Arial"/>
        </w:rPr>
        <w:t>an opportunity to secure funding to progress their career.</w:t>
      </w:r>
      <w:r w:rsidRPr="00445347">
        <w:rPr>
          <w:rFonts w:cs="Arial"/>
        </w:rPr>
        <w:t xml:space="preserve"> </w:t>
      </w:r>
    </w:p>
    <w:p w14:paraId="0F2FCDCD" w14:textId="77777777" w:rsidR="00D7116C" w:rsidRDefault="00D7116C" w:rsidP="00D7116C">
      <w:pPr>
        <w:rPr>
          <w:rFonts w:cs="Arial"/>
        </w:rPr>
      </w:pPr>
    </w:p>
    <w:p w14:paraId="37F6FB94" w14:textId="77777777" w:rsidR="00D7116C" w:rsidRPr="00445347" w:rsidRDefault="00D7116C" w:rsidP="00D7116C">
      <w:pPr>
        <w:rPr>
          <w:rFonts w:cs="Arial"/>
          <w:b/>
          <w:bCs/>
          <w:sz w:val="28"/>
          <w:szCs w:val="28"/>
        </w:rPr>
      </w:pPr>
      <w:r>
        <w:rPr>
          <w:rFonts w:cs="Arial"/>
          <w:b/>
          <w:bCs/>
          <w:sz w:val="28"/>
          <w:szCs w:val="28"/>
        </w:rPr>
        <w:t>Aim of this funding</w:t>
      </w:r>
    </w:p>
    <w:p w14:paraId="191E28E5" w14:textId="2357989C" w:rsidR="00D7116C" w:rsidRDefault="00D1520F" w:rsidP="00D7116C">
      <w:pPr>
        <w:rPr>
          <w:rFonts w:cs="Arial"/>
        </w:rPr>
      </w:pPr>
      <w:r w:rsidRPr="00D1520F">
        <w:rPr>
          <w:rFonts w:cs="Arial"/>
        </w:rPr>
        <w:t>To support Research Fellows, Senior Research Fellows, and Senior Lecturers who are not core-funded by their university employer</w:t>
      </w:r>
      <w:r w:rsidR="00D7116C">
        <w:rPr>
          <w:rFonts w:cs="Arial"/>
        </w:rPr>
        <w:t>.</w:t>
      </w:r>
    </w:p>
    <w:p w14:paraId="3513A1A6" w14:textId="77777777" w:rsidR="00D7116C" w:rsidRDefault="00D7116C" w:rsidP="00D7116C">
      <w:pPr>
        <w:rPr>
          <w:rFonts w:cs="Arial"/>
        </w:rPr>
      </w:pPr>
    </w:p>
    <w:p w14:paraId="4D2D2995" w14:textId="1DDB88DD" w:rsidR="00D7116C" w:rsidRPr="00445347" w:rsidRDefault="00D7116C" w:rsidP="00D7116C">
      <w:pPr>
        <w:rPr>
          <w:rFonts w:cs="Arial"/>
        </w:rPr>
      </w:pPr>
      <w:r w:rsidRPr="00445347">
        <w:rPr>
          <w:rFonts w:cs="Arial"/>
        </w:rPr>
        <w:t>This award will enable academics to dedicate time to activities that support their career stability e.g. applying for research grants or Advanced Fellowships</w:t>
      </w:r>
      <w:r w:rsidR="007C36E6">
        <w:rPr>
          <w:rFonts w:cs="Arial"/>
        </w:rPr>
        <w:t xml:space="preserve">. </w:t>
      </w:r>
    </w:p>
    <w:p w14:paraId="58A10F85" w14:textId="77777777" w:rsidR="00D7116C" w:rsidRPr="00445347" w:rsidRDefault="00D7116C" w:rsidP="00D7116C">
      <w:pPr>
        <w:rPr>
          <w:rFonts w:cs="Arial"/>
        </w:rPr>
      </w:pPr>
    </w:p>
    <w:p w14:paraId="35DD4BB7" w14:textId="77777777" w:rsidR="00D7116C" w:rsidRPr="00445347" w:rsidRDefault="00D7116C" w:rsidP="00D7116C">
      <w:pPr>
        <w:rPr>
          <w:rFonts w:cs="Arial"/>
        </w:rPr>
      </w:pPr>
      <w:r w:rsidRPr="00445347">
        <w:rPr>
          <w:rFonts w:cs="Arial"/>
        </w:rPr>
        <w:t xml:space="preserve">For the ICB, this scheme will contribute to the following </w:t>
      </w:r>
      <w:r>
        <w:rPr>
          <w:rFonts w:cs="Arial"/>
        </w:rPr>
        <w:t>f</w:t>
      </w:r>
      <w:r w:rsidRPr="00445347">
        <w:rPr>
          <w:rFonts w:cs="Arial"/>
        </w:rPr>
        <w:t>actors that influence our RCF spending decisions:</w:t>
      </w:r>
    </w:p>
    <w:p w14:paraId="05AE82A0" w14:textId="77777777" w:rsidR="00D7116C" w:rsidRPr="00445347" w:rsidRDefault="00D7116C" w:rsidP="00D7116C">
      <w:pPr>
        <w:pStyle w:val="ListParagraph"/>
        <w:numPr>
          <w:ilvl w:val="0"/>
          <w:numId w:val="4"/>
        </w:numPr>
        <w:spacing w:after="0" w:line="276" w:lineRule="auto"/>
        <w:rPr>
          <w:rFonts w:cs="Arial"/>
        </w:rPr>
      </w:pPr>
      <w:r w:rsidRPr="00445347">
        <w:rPr>
          <w:rFonts w:cs="Arial"/>
        </w:rPr>
        <w:t>The NIHR’s aims for RCF</w:t>
      </w:r>
    </w:p>
    <w:p w14:paraId="12D5F11F" w14:textId="77777777" w:rsidR="00D7116C" w:rsidRPr="00445347" w:rsidRDefault="00D7116C" w:rsidP="00D7116C">
      <w:pPr>
        <w:pStyle w:val="ListParagraph"/>
        <w:numPr>
          <w:ilvl w:val="0"/>
          <w:numId w:val="4"/>
        </w:numPr>
        <w:spacing w:after="0" w:line="276" w:lineRule="auto"/>
        <w:rPr>
          <w:rFonts w:cs="Arial"/>
        </w:rPr>
      </w:pPr>
      <w:r w:rsidRPr="00445347">
        <w:rPr>
          <w:rFonts w:cs="Arial"/>
        </w:rPr>
        <w:t>The NIHR’s mission statement</w:t>
      </w:r>
    </w:p>
    <w:p w14:paraId="348FE032" w14:textId="77777777" w:rsidR="00D7116C" w:rsidRPr="00445347" w:rsidRDefault="00D7116C" w:rsidP="00D7116C">
      <w:pPr>
        <w:pStyle w:val="ListParagraph"/>
        <w:numPr>
          <w:ilvl w:val="0"/>
          <w:numId w:val="4"/>
        </w:numPr>
        <w:spacing w:after="0" w:line="276" w:lineRule="auto"/>
        <w:rPr>
          <w:rFonts w:cs="Arial"/>
        </w:rPr>
      </w:pPr>
      <w:r w:rsidRPr="00445347">
        <w:rPr>
          <w:rFonts w:cs="Arial"/>
        </w:rPr>
        <w:t>Drive the pan-Bristol Knowledge Mobilisation approach</w:t>
      </w:r>
    </w:p>
    <w:p w14:paraId="0E989EE8" w14:textId="77777777" w:rsidR="00D7116C" w:rsidRPr="00445347" w:rsidRDefault="00D7116C" w:rsidP="00D7116C">
      <w:pPr>
        <w:pStyle w:val="ListParagraph"/>
        <w:numPr>
          <w:ilvl w:val="0"/>
          <w:numId w:val="4"/>
        </w:numPr>
        <w:spacing w:after="0" w:line="276" w:lineRule="auto"/>
        <w:rPr>
          <w:rFonts w:cs="Arial"/>
        </w:rPr>
      </w:pPr>
      <w:r w:rsidRPr="00445347">
        <w:rPr>
          <w:rFonts w:cs="Arial"/>
        </w:rPr>
        <w:t xml:space="preserve">Maintain the RCF virtuous circle </w:t>
      </w:r>
    </w:p>
    <w:p w14:paraId="1014DB5D" w14:textId="77777777" w:rsidR="00D7116C" w:rsidRPr="00445347" w:rsidRDefault="00D7116C" w:rsidP="00D7116C">
      <w:pPr>
        <w:rPr>
          <w:rFonts w:cs="Arial"/>
        </w:rPr>
      </w:pPr>
    </w:p>
    <w:p w14:paraId="0B30314A" w14:textId="77777777" w:rsidR="00D7116C" w:rsidRPr="00C61E72" w:rsidRDefault="00D7116C" w:rsidP="00D7116C">
      <w:pPr>
        <w:rPr>
          <w:rFonts w:cs="Arial"/>
          <w:b/>
          <w:bCs/>
        </w:rPr>
      </w:pPr>
      <w:r>
        <w:rPr>
          <w:rFonts w:cs="Arial"/>
          <w:b/>
          <w:bCs/>
        </w:rPr>
        <w:t xml:space="preserve">Award </w:t>
      </w:r>
      <w:r w:rsidRPr="00C61E72">
        <w:rPr>
          <w:rFonts w:cs="Arial"/>
          <w:b/>
          <w:bCs/>
        </w:rPr>
        <w:t xml:space="preserve">Terms &amp; </w:t>
      </w:r>
      <w:r>
        <w:rPr>
          <w:rFonts w:cs="Arial"/>
          <w:b/>
          <w:bCs/>
        </w:rPr>
        <w:t>D</w:t>
      </w:r>
      <w:r w:rsidRPr="00C61E72">
        <w:rPr>
          <w:rFonts w:cs="Arial"/>
          <w:b/>
          <w:bCs/>
        </w:rPr>
        <w:t>uration</w:t>
      </w:r>
    </w:p>
    <w:p w14:paraId="52DFA7B1" w14:textId="62CDD346" w:rsidR="00D7116C" w:rsidRPr="00445347" w:rsidRDefault="00D7116C" w:rsidP="00D7116C">
      <w:pPr>
        <w:rPr>
          <w:rFonts w:cs="Arial"/>
        </w:rPr>
      </w:pPr>
      <w:r>
        <w:rPr>
          <w:rFonts w:cs="Arial"/>
        </w:rPr>
        <w:t xml:space="preserve">These </w:t>
      </w:r>
      <w:r w:rsidRPr="00445347">
        <w:rPr>
          <w:rFonts w:cs="Arial"/>
        </w:rPr>
        <w:t xml:space="preserve">Awards are intended to help reduce the pressures of short-term contracts by awarding </w:t>
      </w:r>
      <w:r>
        <w:rPr>
          <w:rFonts w:cs="Arial"/>
        </w:rPr>
        <w:t xml:space="preserve">funding </w:t>
      </w:r>
      <w:r w:rsidRPr="00445347">
        <w:rPr>
          <w:rFonts w:cs="Arial"/>
        </w:rPr>
        <w:t xml:space="preserve">equal to </w:t>
      </w:r>
      <w:r w:rsidR="00EE29D1">
        <w:rPr>
          <w:rFonts w:cs="Arial"/>
        </w:rPr>
        <w:t xml:space="preserve">£60,000 </w:t>
      </w:r>
      <w:r w:rsidRPr="00445347">
        <w:rPr>
          <w:rFonts w:cs="Arial"/>
        </w:rPr>
        <w:t xml:space="preserve">over an </w:t>
      </w:r>
      <w:r w:rsidR="00866147" w:rsidRPr="00445347">
        <w:rPr>
          <w:rFonts w:cs="Arial"/>
        </w:rPr>
        <w:t>18-month</w:t>
      </w:r>
      <w:r w:rsidRPr="00445347">
        <w:rPr>
          <w:rFonts w:cs="Arial"/>
        </w:rPr>
        <w:t xml:space="preserve"> duration. </w:t>
      </w:r>
    </w:p>
    <w:p w14:paraId="693119E6" w14:textId="77777777" w:rsidR="00D7116C" w:rsidRPr="00445347" w:rsidRDefault="00D7116C" w:rsidP="00D7116C">
      <w:pPr>
        <w:rPr>
          <w:rFonts w:cs="Arial"/>
        </w:rPr>
      </w:pPr>
    </w:p>
    <w:p w14:paraId="1BBB7C46" w14:textId="1E306040" w:rsidR="00D7116C" w:rsidRPr="00445347" w:rsidRDefault="00D7116C" w:rsidP="00D7116C">
      <w:pPr>
        <w:rPr>
          <w:rFonts w:cs="Arial"/>
        </w:rPr>
      </w:pPr>
      <w:r w:rsidRPr="00445347">
        <w:rPr>
          <w:rFonts w:cs="Arial"/>
        </w:rPr>
        <w:t>At 18 months</w:t>
      </w:r>
      <w:r>
        <w:rPr>
          <w:rFonts w:cs="Arial"/>
        </w:rPr>
        <w:t xml:space="preserve"> after the award,</w:t>
      </w:r>
      <w:r w:rsidRPr="00445347">
        <w:rPr>
          <w:rFonts w:cs="Arial"/>
        </w:rPr>
        <w:t xml:space="preserve"> there will be a review meeting between the Recipient and ICB Research Team to assess how much, if any, RCF is remaining. The expectation is that the Recipient will secure other funding during the 18 months duration, and therefore may not need to draw on all their RCF Award. </w:t>
      </w:r>
    </w:p>
    <w:p w14:paraId="029B5C9B" w14:textId="77777777" w:rsidR="00D7116C" w:rsidRPr="00445347" w:rsidRDefault="00D7116C" w:rsidP="00D7116C">
      <w:pPr>
        <w:rPr>
          <w:rFonts w:cs="Arial"/>
        </w:rPr>
      </w:pPr>
    </w:p>
    <w:p w14:paraId="10C6C1B1" w14:textId="77777777" w:rsidR="00D7116C" w:rsidRDefault="00D7116C" w:rsidP="00D7116C">
      <w:pPr>
        <w:rPr>
          <w:rFonts w:cs="Arial"/>
        </w:rPr>
      </w:pPr>
    </w:p>
    <w:p w14:paraId="32DDDCCB" w14:textId="77777777" w:rsidR="00D7116C" w:rsidRDefault="00D7116C" w:rsidP="00D7116C">
      <w:pPr>
        <w:rPr>
          <w:rFonts w:cs="Arial"/>
        </w:rPr>
      </w:pPr>
    </w:p>
    <w:p w14:paraId="43F0ED99" w14:textId="77777777" w:rsidR="00D7116C" w:rsidRDefault="00D7116C" w:rsidP="00D7116C">
      <w:pPr>
        <w:rPr>
          <w:rFonts w:cs="Arial"/>
        </w:rPr>
      </w:pPr>
    </w:p>
    <w:p w14:paraId="508FE37E" w14:textId="77777777" w:rsidR="00D7116C" w:rsidRDefault="00D7116C" w:rsidP="00D7116C">
      <w:pPr>
        <w:rPr>
          <w:rFonts w:cs="Arial"/>
        </w:rPr>
      </w:pPr>
    </w:p>
    <w:p w14:paraId="04C6B9A8" w14:textId="77777777" w:rsidR="00D7116C" w:rsidRDefault="00D7116C" w:rsidP="00D7116C">
      <w:pPr>
        <w:rPr>
          <w:rFonts w:cs="Arial"/>
        </w:rPr>
      </w:pPr>
    </w:p>
    <w:p w14:paraId="1770CEDD" w14:textId="77777777" w:rsidR="00D7116C" w:rsidRDefault="00D7116C" w:rsidP="00D7116C">
      <w:pPr>
        <w:rPr>
          <w:rFonts w:cs="Arial"/>
        </w:rPr>
      </w:pPr>
    </w:p>
    <w:p w14:paraId="1D3C4B40" w14:textId="56CD277D" w:rsidR="00D7116C" w:rsidRDefault="00D7116C" w:rsidP="00D7116C">
      <w:pPr>
        <w:rPr>
          <w:rFonts w:cs="Arial"/>
        </w:rPr>
      </w:pPr>
      <w:r w:rsidRPr="00445347">
        <w:rPr>
          <w:rFonts w:cs="Arial"/>
        </w:rPr>
        <w:lastRenderedPageBreak/>
        <w:t>If there is RCF remaining at 18 months, the duration of the RCF award will be extended in direct relation to the percentage of funding that is remaining. The table below illustrates the extension process with some examples:</w:t>
      </w:r>
    </w:p>
    <w:p w14:paraId="2D1F9EC9" w14:textId="77777777" w:rsidR="00D7116C" w:rsidRDefault="00D7116C" w:rsidP="00D7116C">
      <w:pPr>
        <w:rPr>
          <w:rFonts w:cs="Arial"/>
        </w:rPr>
      </w:pPr>
    </w:p>
    <w:tbl>
      <w:tblPr>
        <w:tblStyle w:val="TableGrid"/>
        <w:tblW w:w="0" w:type="auto"/>
        <w:tblLook w:val="04A0" w:firstRow="1" w:lastRow="0" w:firstColumn="1" w:lastColumn="0" w:noHBand="0" w:noVBand="1"/>
      </w:tblPr>
      <w:tblGrid>
        <w:gridCol w:w="2547"/>
        <w:gridCol w:w="2126"/>
        <w:gridCol w:w="2089"/>
        <w:gridCol w:w="2254"/>
      </w:tblGrid>
      <w:tr w:rsidR="00D7116C" w:rsidRPr="00445347" w14:paraId="0E40C545" w14:textId="77777777" w:rsidTr="005B149B">
        <w:tc>
          <w:tcPr>
            <w:tcW w:w="2547" w:type="dxa"/>
          </w:tcPr>
          <w:p w14:paraId="311B48E8" w14:textId="77777777" w:rsidR="00D7116C" w:rsidRPr="00445347" w:rsidRDefault="00D7116C" w:rsidP="005B149B">
            <w:pPr>
              <w:rPr>
                <w:rFonts w:cs="Arial"/>
                <w:b/>
                <w:bCs/>
              </w:rPr>
            </w:pPr>
            <w:r w:rsidRPr="00445347">
              <w:rPr>
                <w:rFonts w:cs="Arial"/>
                <w:b/>
                <w:bCs/>
              </w:rPr>
              <w:t>Original Award</w:t>
            </w:r>
          </w:p>
        </w:tc>
        <w:tc>
          <w:tcPr>
            <w:tcW w:w="2126" w:type="dxa"/>
          </w:tcPr>
          <w:p w14:paraId="7EC8B57C" w14:textId="77777777" w:rsidR="00D7116C" w:rsidRPr="00445347" w:rsidRDefault="00D7116C" w:rsidP="005B149B">
            <w:pPr>
              <w:rPr>
                <w:rFonts w:cs="Arial"/>
                <w:b/>
                <w:bCs/>
              </w:rPr>
            </w:pPr>
            <w:r w:rsidRPr="00445347">
              <w:rPr>
                <w:rFonts w:cs="Arial"/>
                <w:b/>
                <w:bCs/>
              </w:rPr>
              <w:t>% RCF remaining at 18 months</w:t>
            </w:r>
          </w:p>
        </w:tc>
        <w:tc>
          <w:tcPr>
            <w:tcW w:w="2089" w:type="dxa"/>
          </w:tcPr>
          <w:p w14:paraId="74E741A4" w14:textId="77777777" w:rsidR="00D7116C" w:rsidRPr="00445347" w:rsidRDefault="00D7116C" w:rsidP="005B149B">
            <w:pPr>
              <w:rPr>
                <w:rFonts w:cs="Arial"/>
                <w:b/>
                <w:bCs/>
              </w:rPr>
            </w:pPr>
            <w:r w:rsidRPr="00445347">
              <w:rPr>
                <w:rFonts w:cs="Arial"/>
                <w:b/>
                <w:bCs/>
              </w:rPr>
              <w:t>Extension duration</w:t>
            </w:r>
          </w:p>
        </w:tc>
        <w:tc>
          <w:tcPr>
            <w:tcW w:w="2254" w:type="dxa"/>
          </w:tcPr>
          <w:p w14:paraId="66CE2A7C" w14:textId="77777777" w:rsidR="00D7116C" w:rsidRPr="00445347" w:rsidRDefault="00D7116C" w:rsidP="005B149B">
            <w:pPr>
              <w:rPr>
                <w:rFonts w:cs="Arial"/>
                <w:b/>
                <w:bCs/>
              </w:rPr>
            </w:pPr>
            <w:r w:rsidRPr="00445347">
              <w:rPr>
                <w:rFonts w:cs="Arial"/>
                <w:b/>
                <w:bCs/>
              </w:rPr>
              <w:t>Total Award duration</w:t>
            </w:r>
          </w:p>
        </w:tc>
      </w:tr>
      <w:tr w:rsidR="00D7116C" w:rsidRPr="00445347" w14:paraId="08FC781D" w14:textId="77777777" w:rsidTr="005B149B">
        <w:tc>
          <w:tcPr>
            <w:tcW w:w="2547" w:type="dxa"/>
            <w:vMerge w:val="restart"/>
          </w:tcPr>
          <w:p w14:paraId="65DCA2F5" w14:textId="77777777" w:rsidR="00D7116C" w:rsidRPr="00445347" w:rsidRDefault="00D7116C" w:rsidP="005B149B">
            <w:pPr>
              <w:jc w:val="center"/>
              <w:rPr>
                <w:rFonts w:cs="Arial"/>
              </w:rPr>
            </w:pPr>
          </w:p>
          <w:p w14:paraId="5C64885D" w14:textId="77777777" w:rsidR="00D7116C" w:rsidRPr="00445347" w:rsidRDefault="00D7116C" w:rsidP="005B149B">
            <w:pPr>
              <w:jc w:val="center"/>
              <w:rPr>
                <w:rFonts w:cs="Arial"/>
              </w:rPr>
            </w:pPr>
          </w:p>
          <w:p w14:paraId="17D03F30" w14:textId="69772CC6" w:rsidR="00D7116C" w:rsidRPr="00445347" w:rsidRDefault="00EE29D1" w:rsidP="005B149B">
            <w:pPr>
              <w:rPr>
                <w:rFonts w:cs="Arial"/>
              </w:rPr>
            </w:pPr>
            <w:r>
              <w:rPr>
                <w:rFonts w:cs="Arial"/>
              </w:rPr>
              <w:t>£60,000</w:t>
            </w:r>
            <w:r w:rsidR="00866147">
              <w:rPr>
                <w:rFonts w:cs="Arial"/>
              </w:rPr>
              <w:t xml:space="preserve"> over</w:t>
            </w:r>
            <w:r w:rsidR="00661F42">
              <w:rPr>
                <w:rFonts w:cs="Arial"/>
              </w:rPr>
              <w:t xml:space="preserve"> </w:t>
            </w:r>
            <w:r w:rsidR="00D7116C" w:rsidRPr="00445347">
              <w:rPr>
                <w:rFonts w:cs="Arial"/>
              </w:rPr>
              <w:t>18 months</w:t>
            </w:r>
          </w:p>
        </w:tc>
        <w:tc>
          <w:tcPr>
            <w:tcW w:w="2126" w:type="dxa"/>
          </w:tcPr>
          <w:p w14:paraId="2B14E164" w14:textId="77777777" w:rsidR="00D7116C" w:rsidRPr="00445347" w:rsidRDefault="00D7116C" w:rsidP="005B149B">
            <w:pPr>
              <w:rPr>
                <w:rFonts w:cs="Arial"/>
              </w:rPr>
            </w:pPr>
            <w:r w:rsidRPr="00445347">
              <w:rPr>
                <w:rFonts w:cs="Arial"/>
              </w:rPr>
              <w:t>100%</w:t>
            </w:r>
          </w:p>
        </w:tc>
        <w:tc>
          <w:tcPr>
            <w:tcW w:w="2089" w:type="dxa"/>
          </w:tcPr>
          <w:p w14:paraId="5B1781B5" w14:textId="77777777" w:rsidR="00D7116C" w:rsidRPr="00445347" w:rsidRDefault="00D7116C" w:rsidP="005B149B">
            <w:pPr>
              <w:rPr>
                <w:rFonts w:cs="Arial"/>
              </w:rPr>
            </w:pPr>
            <w:r w:rsidRPr="00445347">
              <w:rPr>
                <w:rFonts w:cs="Arial"/>
              </w:rPr>
              <w:t>18 months</w:t>
            </w:r>
          </w:p>
        </w:tc>
        <w:tc>
          <w:tcPr>
            <w:tcW w:w="2254" w:type="dxa"/>
          </w:tcPr>
          <w:p w14:paraId="2FD7E86D" w14:textId="77777777" w:rsidR="00D7116C" w:rsidRPr="00445347" w:rsidRDefault="00D7116C" w:rsidP="005B149B">
            <w:pPr>
              <w:rPr>
                <w:rFonts w:cs="Arial"/>
              </w:rPr>
            </w:pPr>
            <w:r w:rsidRPr="00445347">
              <w:rPr>
                <w:rFonts w:cs="Arial"/>
              </w:rPr>
              <w:t>36 months</w:t>
            </w:r>
          </w:p>
        </w:tc>
      </w:tr>
      <w:tr w:rsidR="00D7116C" w:rsidRPr="00445347" w14:paraId="408801B9" w14:textId="77777777" w:rsidTr="005B149B">
        <w:tc>
          <w:tcPr>
            <w:tcW w:w="2547" w:type="dxa"/>
            <w:vMerge/>
          </w:tcPr>
          <w:p w14:paraId="5898B432" w14:textId="77777777" w:rsidR="00D7116C" w:rsidRPr="00445347" w:rsidRDefault="00D7116C" w:rsidP="005B149B">
            <w:pPr>
              <w:rPr>
                <w:rFonts w:cs="Arial"/>
              </w:rPr>
            </w:pPr>
          </w:p>
        </w:tc>
        <w:tc>
          <w:tcPr>
            <w:tcW w:w="2126" w:type="dxa"/>
          </w:tcPr>
          <w:p w14:paraId="7545BCD3" w14:textId="77777777" w:rsidR="00D7116C" w:rsidRPr="00445347" w:rsidRDefault="00D7116C" w:rsidP="005B149B">
            <w:pPr>
              <w:rPr>
                <w:rFonts w:cs="Arial"/>
              </w:rPr>
            </w:pPr>
            <w:r w:rsidRPr="00445347">
              <w:rPr>
                <w:rFonts w:cs="Arial"/>
              </w:rPr>
              <w:t>75%</w:t>
            </w:r>
          </w:p>
        </w:tc>
        <w:tc>
          <w:tcPr>
            <w:tcW w:w="2089" w:type="dxa"/>
          </w:tcPr>
          <w:p w14:paraId="0F69E29E" w14:textId="77777777" w:rsidR="00D7116C" w:rsidRPr="00445347" w:rsidRDefault="00D7116C" w:rsidP="005B149B">
            <w:pPr>
              <w:rPr>
                <w:rFonts w:cs="Arial"/>
              </w:rPr>
            </w:pPr>
            <w:r w:rsidRPr="00445347">
              <w:rPr>
                <w:rFonts w:cs="Arial"/>
              </w:rPr>
              <w:t>13.5 months</w:t>
            </w:r>
          </w:p>
        </w:tc>
        <w:tc>
          <w:tcPr>
            <w:tcW w:w="2254" w:type="dxa"/>
          </w:tcPr>
          <w:p w14:paraId="6C277387" w14:textId="77777777" w:rsidR="00D7116C" w:rsidRPr="00445347" w:rsidRDefault="00D7116C" w:rsidP="005B149B">
            <w:pPr>
              <w:rPr>
                <w:rFonts w:cs="Arial"/>
              </w:rPr>
            </w:pPr>
            <w:r w:rsidRPr="00445347">
              <w:rPr>
                <w:rFonts w:cs="Arial"/>
              </w:rPr>
              <w:t>31.5 months</w:t>
            </w:r>
          </w:p>
        </w:tc>
      </w:tr>
      <w:tr w:rsidR="00D7116C" w:rsidRPr="00445347" w14:paraId="07F278FD" w14:textId="77777777" w:rsidTr="005B149B">
        <w:tc>
          <w:tcPr>
            <w:tcW w:w="2547" w:type="dxa"/>
            <w:vMerge/>
          </w:tcPr>
          <w:p w14:paraId="3CB6DD77" w14:textId="77777777" w:rsidR="00D7116C" w:rsidRPr="00445347" w:rsidRDefault="00D7116C" w:rsidP="005B149B">
            <w:pPr>
              <w:rPr>
                <w:rFonts w:cs="Arial"/>
              </w:rPr>
            </w:pPr>
          </w:p>
        </w:tc>
        <w:tc>
          <w:tcPr>
            <w:tcW w:w="2126" w:type="dxa"/>
          </w:tcPr>
          <w:p w14:paraId="4E5AEE1A" w14:textId="77777777" w:rsidR="00D7116C" w:rsidRPr="00445347" w:rsidRDefault="00D7116C" w:rsidP="005B149B">
            <w:pPr>
              <w:rPr>
                <w:rFonts w:cs="Arial"/>
              </w:rPr>
            </w:pPr>
            <w:r w:rsidRPr="00445347">
              <w:rPr>
                <w:rFonts w:cs="Arial"/>
              </w:rPr>
              <w:t>50%</w:t>
            </w:r>
          </w:p>
        </w:tc>
        <w:tc>
          <w:tcPr>
            <w:tcW w:w="2089" w:type="dxa"/>
          </w:tcPr>
          <w:p w14:paraId="116D4D6A" w14:textId="77777777" w:rsidR="00D7116C" w:rsidRPr="00445347" w:rsidRDefault="00D7116C" w:rsidP="005B149B">
            <w:pPr>
              <w:rPr>
                <w:rFonts w:cs="Arial"/>
              </w:rPr>
            </w:pPr>
            <w:r w:rsidRPr="00445347">
              <w:rPr>
                <w:rFonts w:cs="Arial"/>
              </w:rPr>
              <w:t>9 months</w:t>
            </w:r>
          </w:p>
        </w:tc>
        <w:tc>
          <w:tcPr>
            <w:tcW w:w="2254" w:type="dxa"/>
          </w:tcPr>
          <w:p w14:paraId="293F998D" w14:textId="77777777" w:rsidR="00D7116C" w:rsidRPr="00445347" w:rsidRDefault="00D7116C" w:rsidP="005B149B">
            <w:pPr>
              <w:rPr>
                <w:rFonts w:cs="Arial"/>
              </w:rPr>
            </w:pPr>
            <w:r w:rsidRPr="00445347">
              <w:rPr>
                <w:rFonts w:cs="Arial"/>
              </w:rPr>
              <w:t>27 months</w:t>
            </w:r>
          </w:p>
        </w:tc>
      </w:tr>
      <w:tr w:rsidR="00D7116C" w:rsidRPr="00445347" w14:paraId="28D4FE87" w14:textId="77777777" w:rsidTr="005B149B">
        <w:tc>
          <w:tcPr>
            <w:tcW w:w="2547" w:type="dxa"/>
            <w:vMerge/>
          </w:tcPr>
          <w:p w14:paraId="7C182F50" w14:textId="77777777" w:rsidR="00D7116C" w:rsidRPr="00445347" w:rsidRDefault="00D7116C" w:rsidP="005B149B">
            <w:pPr>
              <w:rPr>
                <w:rFonts w:cs="Arial"/>
              </w:rPr>
            </w:pPr>
          </w:p>
        </w:tc>
        <w:tc>
          <w:tcPr>
            <w:tcW w:w="2126" w:type="dxa"/>
          </w:tcPr>
          <w:p w14:paraId="46DC131D" w14:textId="77777777" w:rsidR="00D7116C" w:rsidRPr="00445347" w:rsidRDefault="00D7116C" w:rsidP="005B149B">
            <w:pPr>
              <w:rPr>
                <w:rFonts w:cs="Arial"/>
              </w:rPr>
            </w:pPr>
            <w:r w:rsidRPr="00445347">
              <w:rPr>
                <w:rFonts w:cs="Arial"/>
              </w:rPr>
              <w:t>25%</w:t>
            </w:r>
          </w:p>
        </w:tc>
        <w:tc>
          <w:tcPr>
            <w:tcW w:w="2089" w:type="dxa"/>
          </w:tcPr>
          <w:p w14:paraId="03D60D8A" w14:textId="77777777" w:rsidR="00D7116C" w:rsidRPr="00445347" w:rsidRDefault="00D7116C" w:rsidP="005B149B">
            <w:pPr>
              <w:rPr>
                <w:rFonts w:cs="Arial"/>
              </w:rPr>
            </w:pPr>
            <w:r w:rsidRPr="00445347">
              <w:rPr>
                <w:rFonts w:cs="Arial"/>
              </w:rPr>
              <w:t>4.5 months</w:t>
            </w:r>
          </w:p>
        </w:tc>
        <w:tc>
          <w:tcPr>
            <w:tcW w:w="2254" w:type="dxa"/>
          </w:tcPr>
          <w:p w14:paraId="45D21DFB" w14:textId="77777777" w:rsidR="00D7116C" w:rsidRPr="00445347" w:rsidRDefault="00D7116C" w:rsidP="005B149B">
            <w:pPr>
              <w:rPr>
                <w:rFonts w:cs="Arial"/>
              </w:rPr>
            </w:pPr>
            <w:r w:rsidRPr="00445347">
              <w:rPr>
                <w:rFonts w:cs="Arial"/>
              </w:rPr>
              <w:t>22.5 months</w:t>
            </w:r>
          </w:p>
        </w:tc>
      </w:tr>
      <w:tr w:rsidR="00D7116C" w:rsidRPr="00445347" w14:paraId="78A8286D" w14:textId="77777777" w:rsidTr="005B149B">
        <w:tc>
          <w:tcPr>
            <w:tcW w:w="2547" w:type="dxa"/>
            <w:vMerge/>
          </w:tcPr>
          <w:p w14:paraId="0E353A71" w14:textId="77777777" w:rsidR="00D7116C" w:rsidRPr="00445347" w:rsidRDefault="00D7116C" w:rsidP="005B149B">
            <w:pPr>
              <w:rPr>
                <w:rFonts w:cs="Arial"/>
              </w:rPr>
            </w:pPr>
          </w:p>
        </w:tc>
        <w:tc>
          <w:tcPr>
            <w:tcW w:w="2126" w:type="dxa"/>
          </w:tcPr>
          <w:p w14:paraId="2B0FB9C6" w14:textId="77777777" w:rsidR="00D7116C" w:rsidRPr="00445347" w:rsidRDefault="00D7116C" w:rsidP="005B149B">
            <w:pPr>
              <w:rPr>
                <w:rFonts w:cs="Arial"/>
              </w:rPr>
            </w:pPr>
            <w:r w:rsidRPr="00445347">
              <w:rPr>
                <w:rFonts w:cs="Arial"/>
              </w:rPr>
              <w:t>0%</w:t>
            </w:r>
          </w:p>
        </w:tc>
        <w:tc>
          <w:tcPr>
            <w:tcW w:w="2089" w:type="dxa"/>
          </w:tcPr>
          <w:p w14:paraId="1556A7AA" w14:textId="77777777" w:rsidR="00D7116C" w:rsidRPr="00445347" w:rsidRDefault="00D7116C" w:rsidP="005B149B">
            <w:pPr>
              <w:rPr>
                <w:rFonts w:cs="Arial"/>
              </w:rPr>
            </w:pPr>
            <w:r w:rsidRPr="00445347">
              <w:rPr>
                <w:rFonts w:cs="Arial"/>
              </w:rPr>
              <w:t>No extension</w:t>
            </w:r>
          </w:p>
        </w:tc>
        <w:tc>
          <w:tcPr>
            <w:tcW w:w="2254" w:type="dxa"/>
          </w:tcPr>
          <w:p w14:paraId="386AEA38" w14:textId="77777777" w:rsidR="00D7116C" w:rsidRPr="00445347" w:rsidRDefault="00D7116C" w:rsidP="005B149B">
            <w:pPr>
              <w:rPr>
                <w:rFonts w:cs="Arial"/>
              </w:rPr>
            </w:pPr>
            <w:r w:rsidRPr="00445347">
              <w:rPr>
                <w:rFonts w:cs="Arial"/>
              </w:rPr>
              <w:t>18 months</w:t>
            </w:r>
          </w:p>
        </w:tc>
      </w:tr>
    </w:tbl>
    <w:p w14:paraId="6623E5BE" w14:textId="77777777" w:rsidR="00D7116C" w:rsidRDefault="00D7116C" w:rsidP="00D7116C">
      <w:pPr>
        <w:rPr>
          <w:rFonts w:cs="Arial"/>
        </w:rPr>
      </w:pPr>
    </w:p>
    <w:p w14:paraId="0A318584" w14:textId="77777777" w:rsidR="00D7116C" w:rsidRPr="00445347" w:rsidRDefault="00D7116C" w:rsidP="00D7116C">
      <w:pPr>
        <w:rPr>
          <w:rFonts w:cs="Arial"/>
        </w:rPr>
      </w:pPr>
    </w:p>
    <w:p w14:paraId="28DBC41D" w14:textId="77777777" w:rsidR="00D7116C" w:rsidRPr="00445347" w:rsidRDefault="00D7116C" w:rsidP="00D7116C">
      <w:pPr>
        <w:rPr>
          <w:rFonts w:cs="Arial"/>
          <w:b/>
          <w:bCs/>
          <w:sz w:val="28"/>
          <w:szCs w:val="28"/>
        </w:rPr>
      </w:pPr>
      <w:r w:rsidRPr="00445347">
        <w:rPr>
          <w:rFonts w:cs="Arial"/>
          <w:b/>
          <w:bCs/>
          <w:sz w:val="28"/>
          <w:szCs w:val="28"/>
        </w:rPr>
        <w:t>Application process</w:t>
      </w:r>
    </w:p>
    <w:p w14:paraId="11FF57FE" w14:textId="41ED3506" w:rsidR="00D7116C" w:rsidRDefault="00D7116C" w:rsidP="00D7116C">
      <w:pPr>
        <w:rPr>
          <w:rFonts w:cs="Arial"/>
        </w:rPr>
      </w:pPr>
      <w:r w:rsidRPr="00445347">
        <w:rPr>
          <w:rFonts w:cs="Arial"/>
        </w:rPr>
        <w:t xml:space="preserve">Awarded via a competitive process open to UWE </w:t>
      </w:r>
      <w:r w:rsidR="007D4E1C">
        <w:rPr>
          <w:rFonts w:cs="Arial"/>
        </w:rPr>
        <w:t xml:space="preserve">Bristol </w:t>
      </w:r>
      <w:r w:rsidRPr="00445347">
        <w:rPr>
          <w:rFonts w:cs="Arial"/>
        </w:rPr>
        <w:t xml:space="preserve">and University of Bristol colleagues. </w:t>
      </w:r>
    </w:p>
    <w:p w14:paraId="0BDF5B62" w14:textId="77777777" w:rsidR="00D7116C" w:rsidRDefault="00D7116C" w:rsidP="00D7116C">
      <w:pPr>
        <w:rPr>
          <w:rFonts w:cs="Arial"/>
        </w:rPr>
      </w:pPr>
    </w:p>
    <w:p w14:paraId="12C1633F" w14:textId="3267DA2C" w:rsidR="00D7116C" w:rsidRPr="00445347" w:rsidRDefault="00D7116C" w:rsidP="00D7116C">
      <w:pPr>
        <w:rPr>
          <w:rFonts w:cs="Arial"/>
        </w:rPr>
      </w:pPr>
      <w:r w:rsidRPr="00445347">
        <w:rPr>
          <w:rFonts w:cs="Arial"/>
        </w:rPr>
        <w:t xml:space="preserve">Following an internal selection process, UWE </w:t>
      </w:r>
      <w:r w:rsidR="007D4E1C">
        <w:rPr>
          <w:rFonts w:cs="Arial"/>
        </w:rPr>
        <w:t xml:space="preserve">Bristol </w:t>
      </w:r>
      <w:r w:rsidRPr="00445347">
        <w:rPr>
          <w:rFonts w:cs="Arial"/>
        </w:rPr>
        <w:t xml:space="preserve">and University of Bristol will each be able to nominate </w:t>
      </w:r>
      <w:r>
        <w:rPr>
          <w:rFonts w:cs="Arial"/>
        </w:rPr>
        <w:t>2</w:t>
      </w:r>
      <w:r w:rsidRPr="00445347">
        <w:rPr>
          <w:rFonts w:cs="Arial"/>
        </w:rPr>
        <w:t xml:space="preserve"> Employees to interview for the </w:t>
      </w:r>
      <w:r>
        <w:rPr>
          <w:rFonts w:cs="Arial"/>
        </w:rPr>
        <w:t>A</w:t>
      </w:r>
      <w:r w:rsidRPr="00445347">
        <w:rPr>
          <w:rFonts w:cs="Arial"/>
        </w:rPr>
        <w:t xml:space="preserve">ward. </w:t>
      </w:r>
    </w:p>
    <w:p w14:paraId="2009148C" w14:textId="77777777" w:rsidR="00D7116C" w:rsidRPr="00445347" w:rsidRDefault="00D7116C" w:rsidP="00D7116C">
      <w:pPr>
        <w:rPr>
          <w:rFonts w:cs="Arial"/>
        </w:rPr>
      </w:pPr>
    </w:p>
    <w:p w14:paraId="1765FC3A" w14:textId="30FC9FEB" w:rsidR="00D7116C" w:rsidRPr="00445347" w:rsidRDefault="00D7116C" w:rsidP="00D7116C">
      <w:pPr>
        <w:rPr>
          <w:rFonts w:cs="Arial"/>
        </w:rPr>
      </w:pPr>
      <w:r w:rsidRPr="00445347">
        <w:rPr>
          <w:rFonts w:cs="Arial"/>
        </w:rPr>
        <w:t xml:space="preserve">Interviews will take place at </w:t>
      </w:r>
      <w:r>
        <w:rPr>
          <w:rFonts w:cs="Arial"/>
        </w:rPr>
        <w:t>100 Temple Street</w:t>
      </w:r>
      <w:r w:rsidRPr="00445347">
        <w:rPr>
          <w:rFonts w:cs="Arial"/>
        </w:rPr>
        <w:t xml:space="preserve"> (the ICB’s offices) with</w:t>
      </w:r>
      <w:r>
        <w:rPr>
          <w:rFonts w:cs="Arial"/>
        </w:rPr>
        <w:t xml:space="preserve"> a</w:t>
      </w:r>
      <w:r w:rsidRPr="00445347">
        <w:rPr>
          <w:rFonts w:cs="Arial"/>
        </w:rPr>
        <w:t xml:space="preserve"> </w:t>
      </w:r>
      <w:r w:rsidR="00866147" w:rsidRPr="00445347">
        <w:rPr>
          <w:rFonts w:cs="Arial"/>
        </w:rPr>
        <w:t>20-minute</w:t>
      </w:r>
      <w:r w:rsidRPr="00445347">
        <w:rPr>
          <w:rFonts w:cs="Arial"/>
        </w:rPr>
        <w:t xml:space="preserve"> </w:t>
      </w:r>
      <w:r>
        <w:rPr>
          <w:rFonts w:cs="Arial"/>
        </w:rPr>
        <w:t>p</w:t>
      </w:r>
      <w:r w:rsidRPr="00445347">
        <w:rPr>
          <w:rFonts w:cs="Arial"/>
        </w:rPr>
        <w:t>resentation followed by interview.</w:t>
      </w:r>
    </w:p>
    <w:p w14:paraId="3E8A0DD8" w14:textId="77777777" w:rsidR="00D7116C" w:rsidRPr="00445347" w:rsidRDefault="00D7116C" w:rsidP="00D7116C">
      <w:pPr>
        <w:rPr>
          <w:rFonts w:cs="Arial"/>
        </w:rPr>
      </w:pPr>
    </w:p>
    <w:p w14:paraId="5141E9F7" w14:textId="77777777" w:rsidR="00D7116C" w:rsidRDefault="00D7116C" w:rsidP="00D7116C">
      <w:pPr>
        <w:rPr>
          <w:rFonts w:cs="Arial"/>
        </w:rPr>
      </w:pPr>
      <w:r w:rsidRPr="00445347">
        <w:rPr>
          <w:rFonts w:cs="Arial"/>
        </w:rPr>
        <w:t>The interview panel will consist of</w:t>
      </w:r>
      <w:r>
        <w:rPr>
          <w:rFonts w:cs="Arial"/>
        </w:rPr>
        <w:t>:</w:t>
      </w:r>
      <w:r w:rsidRPr="00445347">
        <w:rPr>
          <w:rFonts w:cs="Arial"/>
        </w:rPr>
        <w:t xml:space="preserve"> </w:t>
      </w:r>
    </w:p>
    <w:p w14:paraId="68B9820B" w14:textId="77777777" w:rsidR="00D7116C" w:rsidRDefault="00D7116C" w:rsidP="00D7116C">
      <w:pPr>
        <w:pStyle w:val="ListParagraph"/>
        <w:numPr>
          <w:ilvl w:val="0"/>
          <w:numId w:val="6"/>
        </w:numPr>
        <w:spacing w:after="0" w:line="276" w:lineRule="auto"/>
        <w:rPr>
          <w:rFonts w:cs="Arial"/>
        </w:rPr>
      </w:pPr>
      <w:r w:rsidRPr="00445347">
        <w:rPr>
          <w:rFonts w:cs="Arial"/>
        </w:rPr>
        <w:t xml:space="preserve">ICB </w:t>
      </w:r>
      <w:r>
        <w:rPr>
          <w:rFonts w:cs="Arial"/>
        </w:rPr>
        <w:t>Senior Manager</w:t>
      </w:r>
      <w:r w:rsidRPr="00445347">
        <w:rPr>
          <w:rFonts w:cs="Arial"/>
        </w:rPr>
        <w:t xml:space="preserve"> </w:t>
      </w:r>
    </w:p>
    <w:p w14:paraId="2FBECD9E" w14:textId="73E30D2E" w:rsidR="00D7116C" w:rsidRDefault="00D7116C" w:rsidP="00D7116C">
      <w:pPr>
        <w:pStyle w:val="ListParagraph"/>
        <w:numPr>
          <w:ilvl w:val="0"/>
          <w:numId w:val="6"/>
        </w:numPr>
        <w:spacing w:after="0" w:line="276" w:lineRule="auto"/>
        <w:rPr>
          <w:rFonts w:cs="Arial"/>
        </w:rPr>
      </w:pPr>
      <w:r w:rsidRPr="00445347">
        <w:rPr>
          <w:rFonts w:cs="Arial"/>
        </w:rPr>
        <w:t xml:space="preserve">ICB </w:t>
      </w:r>
      <w:r w:rsidR="00767CEC" w:rsidRPr="00767CEC">
        <w:rPr>
          <w:rFonts w:cs="Arial"/>
        </w:rPr>
        <w:t>Associate Director for Research</w:t>
      </w:r>
    </w:p>
    <w:p w14:paraId="45E2F646" w14:textId="77777777" w:rsidR="00D7116C" w:rsidRDefault="00D7116C" w:rsidP="00D7116C">
      <w:pPr>
        <w:pStyle w:val="ListParagraph"/>
        <w:numPr>
          <w:ilvl w:val="0"/>
          <w:numId w:val="6"/>
        </w:numPr>
        <w:spacing w:after="0" w:line="276" w:lineRule="auto"/>
        <w:rPr>
          <w:rFonts w:cs="Arial"/>
        </w:rPr>
      </w:pPr>
      <w:r>
        <w:rPr>
          <w:rFonts w:cs="Arial"/>
        </w:rPr>
        <w:t xml:space="preserve">Senior </w:t>
      </w:r>
      <w:r w:rsidRPr="00445347">
        <w:rPr>
          <w:rFonts w:cs="Arial"/>
        </w:rPr>
        <w:t xml:space="preserve">academic representative from UWE </w:t>
      </w:r>
    </w:p>
    <w:p w14:paraId="2F0EA709" w14:textId="5B080A01" w:rsidR="00D7116C" w:rsidRPr="00445347" w:rsidRDefault="00D7116C" w:rsidP="00D7116C">
      <w:pPr>
        <w:pStyle w:val="ListParagraph"/>
        <w:numPr>
          <w:ilvl w:val="0"/>
          <w:numId w:val="6"/>
        </w:numPr>
        <w:spacing w:after="0" w:line="276" w:lineRule="auto"/>
        <w:rPr>
          <w:rFonts w:cs="Arial"/>
        </w:rPr>
      </w:pPr>
      <w:r>
        <w:rPr>
          <w:rFonts w:cs="Arial"/>
        </w:rPr>
        <w:t xml:space="preserve">Senior </w:t>
      </w:r>
      <w:r w:rsidRPr="00445347">
        <w:rPr>
          <w:rFonts w:cs="Arial"/>
        </w:rPr>
        <w:t>academic representative from University of Bristol</w:t>
      </w:r>
      <w:r w:rsidR="00866147">
        <w:rPr>
          <w:rFonts w:cs="Arial"/>
        </w:rPr>
        <w:t xml:space="preserve"> </w:t>
      </w:r>
    </w:p>
    <w:p w14:paraId="602AC24F" w14:textId="77777777" w:rsidR="00D7116C" w:rsidRDefault="00D7116C" w:rsidP="00D7116C">
      <w:pPr>
        <w:rPr>
          <w:rFonts w:cs="Arial"/>
        </w:rPr>
      </w:pPr>
    </w:p>
    <w:p w14:paraId="636D39D2" w14:textId="77777777" w:rsidR="00D7116C" w:rsidRPr="00445347" w:rsidRDefault="00D7116C" w:rsidP="00D7116C">
      <w:pPr>
        <w:rPr>
          <w:rFonts w:cs="Arial"/>
          <w:b/>
          <w:bCs/>
          <w:sz w:val="28"/>
          <w:szCs w:val="28"/>
        </w:rPr>
      </w:pPr>
      <w:r w:rsidRPr="00445347">
        <w:rPr>
          <w:rFonts w:cs="Arial"/>
          <w:b/>
          <w:bCs/>
          <w:sz w:val="28"/>
          <w:szCs w:val="28"/>
        </w:rPr>
        <w:t>Dates for the scheme</w:t>
      </w:r>
    </w:p>
    <w:p w14:paraId="7050276B" w14:textId="45D9C8E4" w:rsidR="00D7116C" w:rsidRDefault="00D7116C" w:rsidP="00D7116C">
      <w:pPr>
        <w:rPr>
          <w:rFonts w:cs="Arial"/>
        </w:rPr>
      </w:pPr>
      <w:r w:rsidRPr="00C3062C">
        <w:rPr>
          <w:rFonts w:cs="Arial"/>
          <w:b/>
          <w:bCs/>
        </w:rPr>
        <w:t>Launch:</w:t>
      </w:r>
      <w:r w:rsidRPr="00C3062C">
        <w:rPr>
          <w:rFonts w:cs="Arial"/>
        </w:rPr>
        <w:t xml:space="preserve"> </w:t>
      </w:r>
      <w:r w:rsidR="00D1520F">
        <w:rPr>
          <w:rFonts w:cs="Arial"/>
        </w:rPr>
        <w:t>13</w:t>
      </w:r>
      <w:r w:rsidR="00D1520F" w:rsidRPr="00D1520F">
        <w:rPr>
          <w:rFonts w:cs="Arial"/>
          <w:vertAlign w:val="superscript"/>
        </w:rPr>
        <w:t>th</w:t>
      </w:r>
      <w:r w:rsidR="00D1520F">
        <w:rPr>
          <w:rFonts w:cs="Arial"/>
        </w:rPr>
        <w:t xml:space="preserve"> October 2025</w:t>
      </w:r>
    </w:p>
    <w:p w14:paraId="4A50E764" w14:textId="0C2F17EE" w:rsidR="00D1520F" w:rsidRPr="00C3062C" w:rsidRDefault="00D1520F" w:rsidP="00D7116C">
      <w:pPr>
        <w:rPr>
          <w:rFonts w:cs="Arial"/>
          <w:b/>
          <w:bCs/>
        </w:rPr>
      </w:pPr>
      <w:r w:rsidRPr="00D1520F">
        <w:rPr>
          <w:rFonts w:cs="Arial"/>
          <w:b/>
          <w:bCs/>
        </w:rPr>
        <w:t>Application deadline for nominated candidates:</w:t>
      </w:r>
      <w:r>
        <w:rPr>
          <w:rFonts w:cs="Arial"/>
        </w:rPr>
        <w:t xml:space="preserve"> </w:t>
      </w:r>
      <w:r w:rsidR="00042462">
        <w:rPr>
          <w:rFonts w:cs="Arial"/>
        </w:rPr>
        <w:t>Thursday 15</w:t>
      </w:r>
      <w:r w:rsidR="00042462" w:rsidRPr="00042462">
        <w:rPr>
          <w:rFonts w:cs="Arial"/>
          <w:vertAlign w:val="superscript"/>
        </w:rPr>
        <w:t>th</w:t>
      </w:r>
      <w:r w:rsidR="00042462">
        <w:rPr>
          <w:rFonts w:cs="Arial"/>
        </w:rPr>
        <w:t xml:space="preserve"> </w:t>
      </w:r>
      <w:r w:rsidR="00B64089">
        <w:rPr>
          <w:rFonts w:cs="Arial"/>
        </w:rPr>
        <w:t>January</w:t>
      </w:r>
      <w:r w:rsidR="00042462">
        <w:rPr>
          <w:rFonts w:cs="Arial"/>
        </w:rPr>
        <w:t xml:space="preserve"> 2026 (midnight)</w:t>
      </w:r>
    </w:p>
    <w:p w14:paraId="07000E83" w14:textId="7E5393E2" w:rsidR="00D7116C" w:rsidRPr="00C3062C" w:rsidRDefault="00D7116C" w:rsidP="00D7116C">
      <w:pPr>
        <w:rPr>
          <w:rFonts w:cs="Arial"/>
          <w:b/>
          <w:bCs/>
        </w:rPr>
      </w:pPr>
      <w:r w:rsidRPr="00C3062C">
        <w:rPr>
          <w:rFonts w:cs="Arial"/>
          <w:b/>
          <w:bCs/>
        </w:rPr>
        <w:t xml:space="preserve">Interview: </w:t>
      </w:r>
      <w:r w:rsidR="00042462">
        <w:rPr>
          <w:rFonts w:cs="Arial"/>
        </w:rPr>
        <w:t>Thursday 22</w:t>
      </w:r>
      <w:r w:rsidR="00042462" w:rsidRPr="00042462">
        <w:rPr>
          <w:rFonts w:cs="Arial"/>
          <w:vertAlign w:val="superscript"/>
        </w:rPr>
        <w:t>nd</w:t>
      </w:r>
      <w:r w:rsidR="00042462">
        <w:rPr>
          <w:rFonts w:cs="Arial"/>
        </w:rPr>
        <w:t xml:space="preserve"> January 2026</w:t>
      </w:r>
    </w:p>
    <w:p w14:paraId="28396992" w14:textId="27A55C5F" w:rsidR="00D7116C" w:rsidRPr="00445347" w:rsidRDefault="00D7116C" w:rsidP="00D7116C">
      <w:pPr>
        <w:rPr>
          <w:rFonts w:cs="Arial"/>
          <w:b/>
          <w:bCs/>
        </w:rPr>
      </w:pPr>
      <w:r w:rsidRPr="00C3062C">
        <w:rPr>
          <w:rFonts w:cs="Arial"/>
          <w:b/>
          <w:bCs/>
        </w:rPr>
        <w:t xml:space="preserve">Award starts: </w:t>
      </w:r>
      <w:r w:rsidRPr="00C3062C">
        <w:rPr>
          <w:rFonts w:cs="Arial"/>
        </w:rPr>
        <w:t>1</w:t>
      </w:r>
      <w:r w:rsidRPr="00C3062C">
        <w:rPr>
          <w:rFonts w:cs="Arial"/>
          <w:vertAlign w:val="superscript"/>
        </w:rPr>
        <w:t>st</w:t>
      </w:r>
      <w:r w:rsidRPr="00C3062C">
        <w:rPr>
          <w:rFonts w:cs="Arial"/>
          <w:b/>
          <w:bCs/>
        </w:rPr>
        <w:t xml:space="preserve"> </w:t>
      </w:r>
      <w:r w:rsidR="00042462">
        <w:rPr>
          <w:rFonts w:cs="Arial"/>
        </w:rPr>
        <w:t xml:space="preserve">March </w:t>
      </w:r>
      <w:r w:rsidRPr="00C3062C">
        <w:rPr>
          <w:rFonts w:cs="Arial"/>
        </w:rPr>
        <w:t>202</w:t>
      </w:r>
      <w:r w:rsidR="00D1520F">
        <w:rPr>
          <w:rFonts w:cs="Arial"/>
        </w:rPr>
        <w:t>6</w:t>
      </w:r>
    </w:p>
    <w:p w14:paraId="1158A501" w14:textId="77777777" w:rsidR="00B376EA" w:rsidRDefault="00B376EA" w:rsidP="00D7116C">
      <w:pPr>
        <w:rPr>
          <w:rFonts w:cs="Arial"/>
          <w:b/>
          <w:bCs/>
          <w:sz w:val="28"/>
          <w:szCs w:val="28"/>
        </w:rPr>
      </w:pPr>
    </w:p>
    <w:p w14:paraId="6823E468" w14:textId="15023930" w:rsidR="00D7116C" w:rsidRPr="00445347" w:rsidRDefault="00D7116C" w:rsidP="00D7116C">
      <w:pPr>
        <w:rPr>
          <w:rFonts w:cs="Arial"/>
          <w:b/>
          <w:bCs/>
          <w:sz w:val="28"/>
          <w:szCs w:val="28"/>
        </w:rPr>
      </w:pPr>
      <w:r>
        <w:rPr>
          <w:rFonts w:cs="Arial"/>
          <w:b/>
          <w:bCs/>
          <w:sz w:val="28"/>
          <w:szCs w:val="28"/>
        </w:rPr>
        <w:lastRenderedPageBreak/>
        <w:t xml:space="preserve">Eligibility and Remit </w:t>
      </w:r>
    </w:p>
    <w:p w14:paraId="43FE56E0" w14:textId="782C081D" w:rsidR="00D7116C" w:rsidRDefault="00D7116C" w:rsidP="00D7116C">
      <w:pPr>
        <w:rPr>
          <w:rFonts w:cs="Arial"/>
        </w:rPr>
      </w:pPr>
      <w:r w:rsidRPr="00445347">
        <w:rPr>
          <w:rFonts w:cs="Arial"/>
        </w:rPr>
        <w:t xml:space="preserve">As with all BNSSG ICB RCF awards, the remit for the work must be </w:t>
      </w:r>
      <w:r w:rsidR="00661F42">
        <w:rPr>
          <w:rFonts w:cs="Arial"/>
          <w:i/>
          <w:iCs/>
        </w:rPr>
        <w:t>H</w:t>
      </w:r>
      <w:r w:rsidRPr="00445347">
        <w:rPr>
          <w:rFonts w:cs="Arial"/>
          <w:i/>
          <w:iCs/>
        </w:rPr>
        <w:t xml:space="preserve">ealth &amp; </w:t>
      </w:r>
      <w:r w:rsidR="00661F42">
        <w:rPr>
          <w:rFonts w:cs="Arial"/>
          <w:i/>
          <w:iCs/>
        </w:rPr>
        <w:t>C</w:t>
      </w:r>
      <w:r w:rsidRPr="00445347">
        <w:rPr>
          <w:rFonts w:cs="Arial"/>
          <w:i/>
          <w:iCs/>
        </w:rPr>
        <w:t xml:space="preserve">are </w:t>
      </w:r>
      <w:r>
        <w:rPr>
          <w:rFonts w:cs="Arial"/>
          <w:i/>
          <w:iCs/>
        </w:rPr>
        <w:t>in the community</w:t>
      </w:r>
      <w:r w:rsidRPr="00445347">
        <w:rPr>
          <w:rFonts w:cs="Arial"/>
        </w:rPr>
        <w:t xml:space="preserve">, which includes primary care, community care, public health, </w:t>
      </w:r>
      <w:r>
        <w:rPr>
          <w:rFonts w:cs="Arial"/>
        </w:rPr>
        <w:t xml:space="preserve">adult </w:t>
      </w:r>
      <w:r w:rsidRPr="00445347">
        <w:rPr>
          <w:rFonts w:cs="Arial"/>
        </w:rPr>
        <w:t xml:space="preserve">social care </w:t>
      </w:r>
      <w:r>
        <w:rPr>
          <w:rFonts w:cs="Arial"/>
        </w:rPr>
        <w:t xml:space="preserve">and/or children’s social care, </w:t>
      </w:r>
      <w:r w:rsidRPr="00445347">
        <w:rPr>
          <w:rFonts w:cs="Arial"/>
        </w:rPr>
        <w:t xml:space="preserve">and </w:t>
      </w:r>
      <w:r>
        <w:rPr>
          <w:rFonts w:cs="Arial"/>
        </w:rPr>
        <w:t xml:space="preserve">the work must </w:t>
      </w:r>
      <w:r w:rsidRPr="00445347">
        <w:rPr>
          <w:rFonts w:cs="Arial"/>
        </w:rPr>
        <w:t xml:space="preserve">support the </w:t>
      </w:r>
      <w:hyperlink r:id="rId12" w:history="1">
        <w:r w:rsidRPr="00445347">
          <w:rPr>
            <w:rStyle w:val="Hyperlink"/>
            <w:rFonts w:cs="Arial"/>
          </w:rPr>
          <w:t>purpose of the Healthier Together Integrated Care System</w:t>
        </w:r>
      </w:hyperlink>
      <w:r>
        <w:rPr>
          <w:rFonts w:cs="Arial"/>
        </w:rPr>
        <w:t>:</w:t>
      </w:r>
    </w:p>
    <w:p w14:paraId="0F57BB33" w14:textId="77777777" w:rsidR="00D7116C" w:rsidRPr="00347F8D" w:rsidRDefault="00D7116C" w:rsidP="00D7116C">
      <w:pPr>
        <w:pStyle w:val="ListParagraph"/>
        <w:numPr>
          <w:ilvl w:val="0"/>
          <w:numId w:val="7"/>
        </w:numPr>
        <w:spacing w:after="0" w:line="276" w:lineRule="auto"/>
        <w:rPr>
          <w:rFonts w:cs="Arial"/>
        </w:rPr>
      </w:pPr>
      <w:r w:rsidRPr="00347F8D">
        <w:rPr>
          <w:rFonts w:cs="Arial"/>
        </w:rPr>
        <w:t>improve outcomes in population health and healthcare</w:t>
      </w:r>
    </w:p>
    <w:p w14:paraId="33B5559D" w14:textId="77777777" w:rsidR="00D7116C" w:rsidRPr="00347F8D" w:rsidRDefault="00D7116C" w:rsidP="00D7116C">
      <w:pPr>
        <w:pStyle w:val="ListParagraph"/>
        <w:numPr>
          <w:ilvl w:val="0"/>
          <w:numId w:val="7"/>
        </w:numPr>
        <w:spacing w:after="0" w:line="276" w:lineRule="auto"/>
        <w:rPr>
          <w:rFonts w:cs="Arial"/>
        </w:rPr>
      </w:pPr>
      <w:r w:rsidRPr="00347F8D">
        <w:rPr>
          <w:rFonts w:cs="Arial"/>
        </w:rPr>
        <w:t>tackle inequalities in outcomes, experience and access</w:t>
      </w:r>
    </w:p>
    <w:p w14:paraId="4EA249D1" w14:textId="77777777" w:rsidR="00D7116C" w:rsidRPr="00347F8D" w:rsidRDefault="00D7116C" w:rsidP="00D7116C">
      <w:pPr>
        <w:pStyle w:val="ListParagraph"/>
        <w:numPr>
          <w:ilvl w:val="0"/>
          <w:numId w:val="7"/>
        </w:numPr>
        <w:spacing w:after="0" w:line="276" w:lineRule="auto"/>
        <w:rPr>
          <w:rFonts w:cs="Arial"/>
        </w:rPr>
      </w:pPr>
      <w:r w:rsidRPr="00347F8D">
        <w:rPr>
          <w:rFonts w:cs="Arial"/>
        </w:rPr>
        <w:t>support broader social and economic development</w:t>
      </w:r>
    </w:p>
    <w:p w14:paraId="42F6B257" w14:textId="77777777" w:rsidR="00D7116C" w:rsidRPr="00347F8D" w:rsidRDefault="00D7116C" w:rsidP="00D7116C">
      <w:pPr>
        <w:pStyle w:val="ListParagraph"/>
        <w:numPr>
          <w:ilvl w:val="0"/>
          <w:numId w:val="7"/>
        </w:numPr>
        <w:spacing w:after="0" w:line="276" w:lineRule="auto"/>
        <w:rPr>
          <w:rFonts w:cs="Arial"/>
        </w:rPr>
      </w:pPr>
      <w:r w:rsidRPr="00347F8D">
        <w:rPr>
          <w:rFonts w:cs="Arial"/>
        </w:rPr>
        <w:t>enhance productivity and value for money</w:t>
      </w:r>
    </w:p>
    <w:p w14:paraId="0D247E2A" w14:textId="77777777" w:rsidR="00D7116C" w:rsidRDefault="00D7116C" w:rsidP="00D7116C">
      <w:pPr>
        <w:rPr>
          <w:rFonts w:cs="Arial"/>
        </w:rPr>
      </w:pPr>
    </w:p>
    <w:p w14:paraId="5F29077E" w14:textId="7EF8D28E" w:rsidR="00D7116C" w:rsidRDefault="00566674" w:rsidP="00D7116C">
      <w:pPr>
        <w:rPr>
          <w:rFonts w:cs="Arial"/>
        </w:rPr>
      </w:pPr>
      <w:r w:rsidRPr="00566674">
        <w:rPr>
          <w:rFonts w:cs="Arial"/>
        </w:rPr>
        <w:t xml:space="preserve">This funding is for academic colleagues who are </w:t>
      </w:r>
      <w:r>
        <w:rPr>
          <w:rFonts w:cs="Arial"/>
        </w:rPr>
        <w:t xml:space="preserve">a </w:t>
      </w:r>
      <w:r w:rsidRPr="00566674">
        <w:rPr>
          <w:rFonts w:cs="Arial"/>
        </w:rPr>
        <w:t>Research Fellow</w:t>
      </w:r>
      <w:r>
        <w:rPr>
          <w:rFonts w:cs="Arial"/>
        </w:rPr>
        <w:t xml:space="preserve"> </w:t>
      </w:r>
      <w:r w:rsidRPr="00566674">
        <w:rPr>
          <w:rFonts w:cs="Arial"/>
        </w:rPr>
        <w:t>or Senior Research Fellow at the University of Bristol, or an individual in a senior academic/research position at UWE Bristol, who are not core funded by their University employer</w:t>
      </w:r>
      <w:r w:rsidR="00D7116C">
        <w:rPr>
          <w:rFonts w:cs="Arial"/>
        </w:rPr>
        <w:t>.</w:t>
      </w:r>
    </w:p>
    <w:p w14:paraId="146E163F" w14:textId="77777777" w:rsidR="00661F42" w:rsidRDefault="00661F42" w:rsidP="00D7116C">
      <w:pPr>
        <w:rPr>
          <w:rFonts w:cs="Arial"/>
        </w:rPr>
      </w:pPr>
    </w:p>
    <w:p w14:paraId="44114EB4" w14:textId="77777777" w:rsidR="00D7116C" w:rsidRPr="00445347" w:rsidRDefault="00D7116C" w:rsidP="00D7116C">
      <w:pPr>
        <w:rPr>
          <w:rFonts w:cs="Arial"/>
          <w:b/>
          <w:bCs/>
          <w:sz w:val="28"/>
          <w:szCs w:val="28"/>
        </w:rPr>
      </w:pPr>
      <w:bookmarkStart w:id="0" w:name="_Hlk116405125"/>
      <w:r w:rsidRPr="00445347">
        <w:rPr>
          <w:rFonts w:cs="Arial"/>
          <w:b/>
          <w:bCs/>
          <w:sz w:val="28"/>
          <w:szCs w:val="28"/>
        </w:rPr>
        <w:t xml:space="preserve">Eligibility criteria </w:t>
      </w:r>
    </w:p>
    <w:p w14:paraId="670538BD" w14:textId="5A9DC52E" w:rsidR="00D7116C" w:rsidRPr="00445347" w:rsidRDefault="00D7116C" w:rsidP="00D7116C">
      <w:pPr>
        <w:rPr>
          <w:rFonts w:cs="Arial"/>
        </w:rPr>
      </w:pPr>
      <w:r w:rsidRPr="00445347">
        <w:rPr>
          <w:rFonts w:cs="Arial"/>
        </w:rPr>
        <w:t xml:space="preserve">UWE </w:t>
      </w:r>
      <w:r w:rsidR="007D4E1C">
        <w:rPr>
          <w:rFonts w:cs="Arial"/>
        </w:rPr>
        <w:t xml:space="preserve">Bristol </w:t>
      </w:r>
      <w:r w:rsidRPr="00445347">
        <w:rPr>
          <w:rFonts w:cs="Arial"/>
        </w:rPr>
        <w:t xml:space="preserve">and University of Bristol are invited to submit up-to </w:t>
      </w:r>
      <w:r>
        <w:rPr>
          <w:rFonts w:cs="Arial"/>
        </w:rPr>
        <w:t>2</w:t>
      </w:r>
      <w:r w:rsidRPr="00445347">
        <w:rPr>
          <w:rFonts w:cs="Arial"/>
        </w:rPr>
        <w:t xml:space="preserve"> applications each. Applicants </w:t>
      </w:r>
      <w:r w:rsidR="00FB4DAC">
        <w:rPr>
          <w:rFonts w:cs="Arial"/>
        </w:rPr>
        <w:t xml:space="preserve">must be: </w:t>
      </w:r>
    </w:p>
    <w:p w14:paraId="650EF0F0" w14:textId="77777777" w:rsidR="00FB4DAC" w:rsidRPr="00866147" w:rsidRDefault="00FB4DAC" w:rsidP="00866147">
      <w:pPr>
        <w:pStyle w:val="ListParagraph"/>
        <w:spacing w:after="0" w:line="240" w:lineRule="auto"/>
        <w:rPr>
          <w:rFonts w:cs="Arial"/>
          <w:sz w:val="28"/>
          <w:szCs w:val="24"/>
        </w:rPr>
      </w:pPr>
    </w:p>
    <w:bookmarkEnd w:id="0"/>
    <w:p w14:paraId="531EE044" w14:textId="3B92EBB5" w:rsidR="00FB4DAC" w:rsidRPr="00866147" w:rsidRDefault="00FB4DAC" w:rsidP="00FB4DAC">
      <w:pPr>
        <w:numPr>
          <w:ilvl w:val="0"/>
          <w:numId w:val="5"/>
        </w:numPr>
        <w:spacing w:after="0" w:line="240" w:lineRule="auto"/>
        <w:rPr>
          <w:rFonts w:eastAsia="Times New Roman" w:cs="Arial"/>
          <w:szCs w:val="24"/>
        </w:rPr>
      </w:pPr>
      <w:r w:rsidRPr="00866147">
        <w:rPr>
          <w:rFonts w:eastAsia="Times New Roman" w:cs="Arial"/>
          <w:szCs w:val="24"/>
        </w:rPr>
        <w:t>A Pathway 2 non-clinical academic or health and social care professional excluding doctors and dentists</w:t>
      </w:r>
      <w:r w:rsidR="00835856" w:rsidRPr="00866147">
        <w:rPr>
          <w:rFonts w:eastAsia="Times New Roman" w:cs="Arial"/>
          <w:szCs w:val="24"/>
        </w:rPr>
        <w:t xml:space="preserve"> (to align with NIHR criteria*)</w:t>
      </w:r>
      <w:r w:rsidRPr="00866147">
        <w:rPr>
          <w:rFonts w:eastAsia="Times New Roman" w:cs="Arial"/>
          <w:szCs w:val="24"/>
        </w:rPr>
        <w:t xml:space="preserve"> who are a </w:t>
      </w:r>
      <w:r w:rsidR="000D12CB">
        <w:rPr>
          <w:rFonts w:eastAsia="Times New Roman" w:cs="Arial"/>
          <w:szCs w:val="24"/>
        </w:rPr>
        <w:t xml:space="preserve">Research Fellow or </w:t>
      </w:r>
      <w:r w:rsidRPr="00866147">
        <w:rPr>
          <w:rFonts w:eastAsia="Times New Roman" w:cs="Arial"/>
          <w:szCs w:val="24"/>
        </w:rPr>
        <w:t xml:space="preserve">Senior Research Fellow (Bristol), or an individual </w:t>
      </w:r>
      <w:r w:rsidRPr="00B6291C">
        <w:rPr>
          <w:rFonts w:eastAsia="Times New Roman" w:cs="Arial"/>
          <w:szCs w:val="24"/>
        </w:rPr>
        <w:t xml:space="preserve">in </w:t>
      </w:r>
      <w:r w:rsidR="00D1520F" w:rsidRPr="00B6291C">
        <w:rPr>
          <w:rFonts w:eastAsia="Times New Roman" w:cs="Arial"/>
          <w:szCs w:val="24"/>
        </w:rPr>
        <w:t>a</w:t>
      </w:r>
      <w:r w:rsidR="001C5B47" w:rsidRPr="00B6291C">
        <w:rPr>
          <w:rFonts w:eastAsia="Times New Roman" w:cs="Arial"/>
          <w:szCs w:val="24"/>
        </w:rPr>
        <w:t xml:space="preserve"> senior </w:t>
      </w:r>
      <w:r w:rsidRPr="00B6291C">
        <w:rPr>
          <w:rFonts w:eastAsia="Times New Roman" w:cs="Arial"/>
          <w:szCs w:val="24"/>
        </w:rPr>
        <w:t>academic/research position (UWE</w:t>
      </w:r>
      <w:r w:rsidR="007D4E1C">
        <w:rPr>
          <w:rFonts w:eastAsia="Times New Roman" w:cs="Arial"/>
          <w:szCs w:val="24"/>
        </w:rPr>
        <w:t xml:space="preserve"> Bristol</w:t>
      </w:r>
      <w:r w:rsidRPr="00B6291C">
        <w:rPr>
          <w:rFonts w:eastAsia="Times New Roman" w:cs="Arial"/>
          <w:szCs w:val="24"/>
        </w:rPr>
        <w:t>),</w:t>
      </w:r>
      <w:r w:rsidRPr="00866147">
        <w:rPr>
          <w:rFonts w:eastAsia="Times New Roman" w:cs="Arial"/>
          <w:szCs w:val="24"/>
        </w:rPr>
        <w:t> employed on either:</w:t>
      </w:r>
    </w:p>
    <w:p w14:paraId="628E751B" w14:textId="77777777" w:rsidR="00FB4DAC" w:rsidRPr="00866147" w:rsidRDefault="00FB4DAC" w:rsidP="00FB4DAC">
      <w:pPr>
        <w:numPr>
          <w:ilvl w:val="1"/>
          <w:numId w:val="5"/>
        </w:numPr>
        <w:spacing w:after="0" w:line="240" w:lineRule="auto"/>
        <w:rPr>
          <w:rFonts w:eastAsia="Times New Roman" w:cs="Arial"/>
          <w:szCs w:val="24"/>
        </w:rPr>
      </w:pPr>
      <w:r w:rsidRPr="00866147">
        <w:rPr>
          <w:rFonts w:eastAsia="Times New Roman" w:cs="Arial"/>
          <w:szCs w:val="24"/>
        </w:rPr>
        <w:t>a fixed term contract, or</w:t>
      </w:r>
    </w:p>
    <w:p w14:paraId="0E2F75F0" w14:textId="77777777" w:rsidR="00FB4DAC" w:rsidRPr="00866147" w:rsidRDefault="00FB4DAC" w:rsidP="00FB4DAC">
      <w:pPr>
        <w:numPr>
          <w:ilvl w:val="1"/>
          <w:numId w:val="5"/>
        </w:numPr>
        <w:spacing w:after="0" w:line="240" w:lineRule="auto"/>
        <w:rPr>
          <w:rFonts w:eastAsia="Times New Roman" w:cs="Arial"/>
          <w:szCs w:val="24"/>
        </w:rPr>
      </w:pPr>
      <w:r w:rsidRPr="00866147">
        <w:rPr>
          <w:rFonts w:eastAsia="Times New Roman" w:cs="Arial"/>
          <w:szCs w:val="24"/>
        </w:rPr>
        <w:t>open-ended basis linked to fixed external funding</w:t>
      </w:r>
    </w:p>
    <w:p w14:paraId="4DCC2598" w14:textId="051D768B" w:rsidR="00FB4DAC" w:rsidRPr="00866147" w:rsidRDefault="00FB4DAC" w:rsidP="00FB4DAC">
      <w:pPr>
        <w:numPr>
          <w:ilvl w:val="0"/>
          <w:numId w:val="5"/>
        </w:numPr>
        <w:spacing w:after="0" w:line="240" w:lineRule="auto"/>
        <w:rPr>
          <w:rFonts w:eastAsia="Times New Roman" w:cs="Arial"/>
          <w:szCs w:val="24"/>
        </w:rPr>
      </w:pPr>
      <w:r w:rsidRPr="00866147">
        <w:rPr>
          <w:rFonts w:eastAsia="Times New Roman" w:cs="Arial"/>
          <w:szCs w:val="24"/>
        </w:rPr>
        <w:t>The applicant should be working either on a full time or part time basis.</w:t>
      </w:r>
    </w:p>
    <w:p w14:paraId="2BCB14E8" w14:textId="77777777" w:rsidR="00FB4DAC" w:rsidRPr="00866147" w:rsidRDefault="00FB4DAC" w:rsidP="00FB4DAC">
      <w:pPr>
        <w:numPr>
          <w:ilvl w:val="0"/>
          <w:numId w:val="5"/>
        </w:numPr>
        <w:spacing w:after="0" w:line="240" w:lineRule="auto"/>
        <w:rPr>
          <w:rFonts w:eastAsia="Times New Roman" w:cs="Arial"/>
          <w:szCs w:val="24"/>
        </w:rPr>
      </w:pPr>
      <w:r w:rsidRPr="00866147">
        <w:rPr>
          <w:rFonts w:eastAsia="Times New Roman" w:cs="Arial"/>
          <w:szCs w:val="24"/>
        </w:rPr>
        <w:t>An exemplar of good citizenship and collegiality (please note, this will require evidence of a positive contribution - the absence of negative feedback is not sufficient).</w:t>
      </w:r>
    </w:p>
    <w:p w14:paraId="28EDD635" w14:textId="77777777" w:rsidR="00FB4DAC" w:rsidRPr="00866147" w:rsidRDefault="00FB4DAC" w:rsidP="00FB4DAC">
      <w:pPr>
        <w:numPr>
          <w:ilvl w:val="0"/>
          <w:numId w:val="5"/>
        </w:numPr>
        <w:spacing w:after="0" w:line="240" w:lineRule="auto"/>
        <w:rPr>
          <w:rFonts w:eastAsia="Times New Roman" w:cs="Arial"/>
          <w:szCs w:val="24"/>
        </w:rPr>
      </w:pPr>
      <w:r w:rsidRPr="00866147">
        <w:rPr>
          <w:rFonts w:eastAsia="Times New Roman" w:cs="Arial"/>
          <w:szCs w:val="24"/>
        </w:rPr>
        <w:t>Able to evidence excellent internationally leading research outputs that are of a standard to be submitted to future REF exercises.</w:t>
      </w:r>
    </w:p>
    <w:p w14:paraId="473F857F" w14:textId="7B18AE56" w:rsidR="00FB4DAC" w:rsidRPr="00866147" w:rsidRDefault="00FB4DAC" w:rsidP="00FB4DAC">
      <w:pPr>
        <w:numPr>
          <w:ilvl w:val="0"/>
          <w:numId w:val="5"/>
        </w:numPr>
        <w:spacing w:after="0" w:line="240" w:lineRule="auto"/>
        <w:rPr>
          <w:rFonts w:eastAsia="Times New Roman" w:cs="Arial"/>
          <w:szCs w:val="24"/>
        </w:rPr>
      </w:pPr>
      <w:r w:rsidRPr="00866147">
        <w:rPr>
          <w:rFonts w:eastAsia="Times New Roman" w:cs="Arial"/>
          <w:szCs w:val="24"/>
        </w:rPr>
        <w:t>Able to evidence a sustained track record (&gt; 3 years) in obtaining external research income either individually as CI or as a team scientist co-applicant working within successful research groups.</w:t>
      </w:r>
    </w:p>
    <w:p w14:paraId="2EFAB493" w14:textId="77777777" w:rsidR="00D7116C" w:rsidRPr="00866147" w:rsidRDefault="00D7116C" w:rsidP="00D7116C">
      <w:pPr>
        <w:rPr>
          <w:rFonts w:cs="Arial"/>
        </w:rPr>
      </w:pPr>
    </w:p>
    <w:p w14:paraId="5475754F" w14:textId="57250EF2" w:rsidR="00835856" w:rsidRPr="00866147" w:rsidRDefault="00835856" w:rsidP="00866147">
      <w:pPr>
        <w:pStyle w:val="ListParagraph"/>
        <w:rPr>
          <w:rFonts w:cs="Arial"/>
        </w:rPr>
      </w:pPr>
      <w:r w:rsidRPr="00866147">
        <w:rPr>
          <w:rFonts w:cs="Arial"/>
        </w:rPr>
        <w:t>*</w:t>
      </w:r>
      <w:r w:rsidR="00866147">
        <w:rPr>
          <w:rFonts w:cs="Arial"/>
        </w:rPr>
        <w:t xml:space="preserve"> </w:t>
      </w:r>
      <w:r w:rsidRPr="00866147">
        <w:rPr>
          <w:rFonts w:cs="Arial"/>
        </w:rPr>
        <w:t xml:space="preserve">with apologies to Doctors and Dentists, these funds are explicitly to create an opportunity for staff who have limited opportunities and/or representation through alternative existing schemes. </w:t>
      </w:r>
    </w:p>
    <w:p w14:paraId="62EE2518" w14:textId="77777777" w:rsidR="00D7116C" w:rsidRDefault="00D7116C" w:rsidP="00D7116C">
      <w:pPr>
        <w:rPr>
          <w:rFonts w:cs="Arial"/>
        </w:rPr>
      </w:pPr>
    </w:p>
    <w:p w14:paraId="07702EF6" w14:textId="77777777" w:rsidR="005F2AAA" w:rsidRDefault="005F2AAA" w:rsidP="00D7116C">
      <w:pPr>
        <w:rPr>
          <w:rFonts w:cs="Arial"/>
          <w:b/>
          <w:bCs/>
          <w:sz w:val="28"/>
          <w:szCs w:val="28"/>
        </w:rPr>
      </w:pPr>
    </w:p>
    <w:p w14:paraId="75B62F27" w14:textId="77777777" w:rsidR="00D1520F" w:rsidRDefault="00D1520F" w:rsidP="00D7116C">
      <w:pPr>
        <w:rPr>
          <w:rFonts w:cs="Arial"/>
          <w:b/>
          <w:bCs/>
          <w:sz w:val="28"/>
          <w:szCs w:val="28"/>
        </w:rPr>
      </w:pPr>
    </w:p>
    <w:p w14:paraId="651204AD" w14:textId="6B6B1E24" w:rsidR="00D7116C" w:rsidRPr="00C06496" w:rsidRDefault="00D7116C" w:rsidP="00D7116C">
      <w:pPr>
        <w:rPr>
          <w:rFonts w:cs="Arial"/>
          <w:b/>
          <w:bCs/>
          <w:sz w:val="28"/>
          <w:szCs w:val="28"/>
        </w:rPr>
      </w:pPr>
      <w:r w:rsidRPr="00C06496">
        <w:rPr>
          <w:rFonts w:cs="Arial"/>
          <w:b/>
          <w:bCs/>
          <w:sz w:val="28"/>
          <w:szCs w:val="28"/>
        </w:rPr>
        <w:lastRenderedPageBreak/>
        <w:t>Acknowledgement</w:t>
      </w:r>
    </w:p>
    <w:p w14:paraId="7F4A3D75" w14:textId="77777777" w:rsidR="00D7116C" w:rsidRDefault="00D7116C" w:rsidP="00D7116C">
      <w:pPr>
        <w:rPr>
          <w:rFonts w:cs="Arial"/>
        </w:rPr>
      </w:pPr>
      <w:r w:rsidRPr="00C058D4">
        <w:rPr>
          <w:rFonts w:cs="Arial"/>
        </w:rPr>
        <w:t xml:space="preserve">This funding scheme was the idea of Chris Salisbury, Professor of Primary Health Care at University of Bristol and a </w:t>
      </w:r>
      <w:r>
        <w:rPr>
          <w:rFonts w:cs="Arial"/>
        </w:rPr>
        <w:t xml:space="preserve">Bristol-based </w:t>
      </w:r>
      <w:r w:rsidRPr="00C058D4">
        <w:rPr>
          <w:rFonts w:cs="Arial"/>
        </w:rPr>
        <w:t>GP</w:t>
      </w:r>
      <w:r>
        <w:rPr>
          <w:rFonts w:cs="Arial"/>
        </w:rPr>
        <w:t>. I</w:t>
      </w:r>
      <w:r w:rsidRPr="00C058D4">
        <w:rPr>
          <w:rFonts w:cs="Arial"/>
        </w:rPr>
        <w:t>n 2023 Chris was awarded the George Abercrombie Award by the Royal College of General Practitioners ‘for outstanding contributions to the literature of general practice’</w:t>
      </w:r>
      <w:r>
        <w:rPr>
          <w:rFonts w:cs="Arial"/>
        </w:rPr>
        <w:t xml:space="preserve">, this scheme is a fantastic contribution to our local research environment. </w:t>
      </w:r>
    </w:p>
    <w:p w14:paraId="5E249ED3" w14:textId="77777777" w:rsidR="00D7116C" w:rsidRDefault="00D7116C" w:rsidP="00D7116C">
      <w:pPr>
        <w:rPr>
          <w:rFonts w:cs="Arial"/>
        </w:rPr>
      </w:pPr>
    </w:p>
    <w:p w14:paraId="3DEDDF17" w14:textId="77777777" w:rsidR="00D7116C" w:rsidRPr="00C058D4" w:rsidRDefault="00D7116C" w:rsidP="00D7116C">
      <w:pPr>
        <w:rPr>
          <w:rFonts w:cs="Arial"/>
        </w:rPr>
      </w:pPr>
      <w:r w:rsidRPr="00C058D4">
        <w:rPr>
          <w:rFonts w:cs="Arial"/>
        </w:rPr>
        <w:t xml:space="preserve">Chris </w:t>
      </w:r>
      <w:r>
        <w:rPr>
          <w:rFonts w:cs="Arial"/>
        </w:rPr>
        <w:t xml:space="preserve">worked with the Research Team </w:t>
      </w:r>
      <w:r w:rsidRPr="00C058D4">
        <w:rPr>
          <w:rFonts w:cs="Arial"/>
        </w:rPr>
        <w:t xml:space="preserve">as a </w:t>
      </w:r>
      <w:r>
        <w:rPr>
          <w:rFonts w:cs="Arial"/>
        </w:rPr>
        <w:t xml:space="preserve">previous </w:t>
      </w:r>
      <w:r w:rsidRPr="00C058D4">
        <w:rPr>
          <w:rFonts w:cs="Arial"/>
        </w:rPr>
        <w:t>Head of the Centre of Academic Primary Care in Bristol</w:t>
      </w:r>
      <w:r>
        <w:rPr>
          <w:rFonts w:cs="Arial"/>
        </w:rPr>
        <w:t>, and as the Chief Investigator on several large NIHR funded research projects.</w:t>
      </w:r>
      <w:r w:rsidRPr="00C058D4">
        <w:rPr>
          <w:rFonts w:cs="Arial"/>
        </w:rPr>
        <w:t xml:space="preserve"> </w:t>
      </w:r>
    </w:p>
    <w:p w14:paraId="69945869" w14:textId="77777777" w:rsidR="00D7116C" w:rsidRDefault="00D7116C" w:rsidP="00D7116C">
      <w:pPr>
        <w:rPr>
          <w:rFonts w:cs="Arial"/>
        </w:rPr>
      </w:pPr>
    </w:p>
    <w:p w14:paraId="7B1092ED" w14:textId="77777777" w:rsidR="00D7116C" w:rsidRDefault="00D7116C" w:rsidP="00D7116C">
      <w:pPr>
        <w:rPr>
          <w:rFonts w:cs="Arial"/>
        </w:rPr>
      </w:pPr>
      <w:r w:rsidRPr="00C058D4">
        <w:rPr>
          <w:rFonts w:cs="Arial"/>
        </w:rPr>
        <w:t>Chris suggested this funding scheme as a much-needed way of supporting academic colleagues working in health &amp; care research through offering a chance for some stability in a career often filled with precarious contracts.</w:t>
      </w:r>
    </w:p>
    <w:p w14:paraId="45E185AF" w14:textId="77777777" w:rsidR="00D7116C" w:rsidRDefault="00D7116C" w:rsidP="00D7116C">
      <w:pPr>
        <w:rPr>
          <w:rFonts w:cs="Arial"/>
        </w:rPr>
      </w:pPr>
    </w:p>
    <w:p w14:paraId="77D26084" w14:textId="77777777" w:rsidR="00D7116C" w:rsidRDefault="00D7116C" w:rsidP="00D7116C">
      <w:pPr>
        <w:rPr>
          <w:rFonts w:cs="Arial"/>
        </w:rPr>
      </w:pPr>
      <w:r>
        <w:rPr>
          <w:rFonts w:cs="Arial"/>
        </w:rPr>
        <w:t>We’re really pleased to be able to offer this opportunity, and thankful to Chris for what has proved to be a popular scheme and much-appreciated support for deserving colleagues.</w:t>
      </w:r>
    </w:p>
    <w:p w14:paraId="5CCD8EE7" w14:textId="77777777" w:rsidR="00D7116C" w:rsidRDefault="00D7116C" w:rsidP="00D7116C">
      <w:pPr>
        <w:rPr>
          <w:rFonts w:cs="Arial"/>
        </w:rPr>
      </w:pPr>
    </w:p>
    <w:p w14:paraId="54F023EF" w14:textId="77777777" w:rsidR="00D7116C" w:rsidRDefault="00D7116C" w:rsidP="00D7116C">
      <w:pPr>
        <w:rPr>
          <w:rFonts w:cs="Arial"/>
        </w:rPr>
      </w:pPr>
    </w:p>
    <w:p w14:paraId="315A2AE2" w14:textId="77777777" w:rsidR="00D666A3" w:rsidRDefault="00D666A3" w:rsidP="67BC6CA3"/>
    <w:sectPr w:rsidR="00D666A3" w:rsidSect="00BD29C7">
      <w:headerReference w:type="default" r:id="rId13"/>
      <w:footerReference w:type="even" r:id="rId14"/>
      <w:footerReference w:type="default" r:id="rId15"/>
      <w:headerReference w:type="first" r:id="rId16"/>
      <w:footerReference w:type="first" r:id="rId17"/>
      <w:pgSz w:w="11909" w:h="16834" w:code="9"/>
      <w:pgMar w:top="1702" w:right="1080" w:bottom="993"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005A1" w14:textId="77777777" w:rsidR="001B5484" w:rsidRPr="00EF3A62" w:rsidRDefault="001B5484" w:rsidP="008F7D93">
      <w:r w:rsidRPr="00EF3A62">
        <w:separator/>
      </w:r>
    </w:p>
  </w:endnote>
  <w:endnote w:type="continuationSeparator" w:id="0">
    <w:p w14:paraId="04C3E9FB" w14:textId="77777777" w:rsidR="001B5484" w:rsidRPr="00EF3A62" w:rsidRDefault="001B5484" w:rsidP="008F7D93">
      <w:r w:rsidRPr="00EF3A62">
        <w:continuationSeparator/>
      </w:r>
    </w:p>
  </w:endnote>
  <w:endnote w:type="continuationNotice" w:id="1">
    <w:p w14:paraId="2B7A8DB3" w14:textId="77777777" w:rsidR="001B5484" w:rsidRPr="00EF3A62" w:rsidRDefault="001B5484"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820" w14:textId="77777777" w:rsidR="00C46028" w:rsidRPr="00EF3A62" w:rsidRDefault="00C46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98450"/>
      <w:docPartObj>
        <w:docPartGallery w:val="Page Numbers (Bottom of Page)"/>
        <w:docPartUnique/>
      </w:docPartObj>
    </w:sdtPr>
    <w:sdtEndPr/>
    <w:sdtContent>
      <w:p w14:paraId="1187C805" w14:textId="77777777" w:rsidR="00392DE3" w:rsidRPr="00EF3A62" w:rsidRDefault="00392DE3" w:rsidP="00392DE3">
        <w:pPr>
          <w:pStyle w:val="Footer"/>
          <w:jc w:val="center"/>
        </w:pPr>
      </w:p>
      <w:p w14:paraId="6636893C" w14:textId="06459A2A" w:rsidR="00392DE3" w:rsidRPr="00EF3A62" w:rsidRDefault="00392DE3" w:rsidP="00392DE3">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p>
      <w:p w14:paraId="32998FD8" w14:textId="72519CD6" w:rsidR="00392DE3" w:rsidRPr="00EF3A62" w:rsidRDefault="00236BBD" w:rsidP="004C07D8">
        <w:pPr>
          <w:pStyle w:val="Footer"/>
        </w:pPr>
        <w:r w:rsidRPr="00EF3A62">
          <w:rPr>
            <w:noProof/>
          </w:rPr>
          <w:drawing>
            <wp:inline distT="0" distB="0" distL="0" distR="0" wp14:anchorId="3FFAA61E" wp14:editId="02F2300E">
              <wp:extent cx="1816100" cy="221484"/>
              <wp:effectExtent l="0" t="0" r="0" b="7620"/>
              <wp:docPr id="517938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9287" name="Picture 464299287"/>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004206FD" w:rsidRPr="00EF3A62">
          <w:rPr>
            <w:noProof/>
          </w:rPr>
          <w:drawing>
            <wp:anchor distT="0" distB="0" distL="114300" distR="114300" simplePos="0" relativeHeight="251649536" behindDoc="0" locked="0" layoutInCell="1" allowOverlap="1" wp14:anchorId="3713CEEE" wp14:editId="106D1841">
              <wp:simplePos x="0" y="0"/>
              <wp:positionH relativeFrom="page">
                <wp:posOffset>-6485</wp:posOffset>
              </wp:positionH>
              <wp:positionV relativeFrom="page">
                <wp:posOffset>10642059</wp:posOffset>
              </wp:positionV>
              <wp:extent cx="7586345" cy="64297"/>
              <wp:effectExtent l="0" t="0" r="0" b="0"/>
              <wp:wrapSquare wrapText="bothSides"/>
              <wp:docPr id="18996350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3CB48CA" w14:textId="3A9649CA" w:rsidR="00C46028" w:rsidRPr="00EF3A62" w:rsidRDefault="00C4602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5078"/>
      <w:docPartObj>
        <w:docPartGallery w:val="Page Numbers (Bottom of Page)"/>
        <w:docPartUnique/>
      </w:docPartObj>
    </w:sdtPr>
    <w:sdtEndPr/>
    <w:sdtContent>
      <w:p w14:paraId="3310FC49" w14:textId="77777777" w:rsidR="00656198" w:rsidRPr="00EF3A62" w:rsidRDefault="00656198" w:rsidP="00656198">
        <w:pPr>
          <w:pStyle w:val="Footer"/>
          <w:jc w:val="center"/>
        </w:pPr>
      </w:p>
      <w:p w14:paraId="2E2521A5" w14:textId="72C357A5" w:rsidR="00206B48" w:rsidRDefault="00206B48" w:rsidP="00801071">
        <w:pPr>
          <w:pStyle w:val="Footer"/>
          <w:jc w:val="center"/>
        </w:pPr>
        <w:r w:rsidRPr="00EF3A62">
          <w:rPr>
            <w:noProof/>
          </w:rPr>
          <w:drawing>
            <wp:anchor distT="0" distB="0" distL="114300" distR="114300" simplePos="0" relativeHeight="251668992" behindDoc="0" locked="0" layoutInCell="1" allowOverlap="1" wp14:anchorId="63B70214" wp14:editId="400DF8E7">
              <wp:simplePos x="0" y="0"/>
              <wp:positionH relativeFrom="column">
                <wp:posOffset>-123825</wp:posOffset>
              </wp:positionH>
              <wp:positionV relativeFrom="paragraph">
                <wp:posOffset>172085</wp:posOffset>
              </wp:positionV>
              <wp:extent cx="1816100" cy="221484"/>
              <wp:effectExtent l="0" t="0" r="0" b="7620"/>
              <wp:wrapSquare wrapText="bothSides"/>
              <wp:docPr id="991215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9287" name="Picture 464299287"/>
                      <pic:cNvPicPr/>
                    </pic:nvPicPr>
                    <pic:blipFill>
                      <a:blip r:embed="rId1">
                        <a:extLst>
                          <a:ext uri="{28A0092B-C50C-407E-A947-70E740481C1C}">
                            <a14:useLocalDpi xmlns:a14="http://schemas.microsoft.com/office/drawing/2010/main" val="0"/>
                          </a:ext>
                        </a:extLst>
                      </a:blip>
                      <a:stretch>
                        <a:fillRect/>
                      </a:stretch>
                    </pic:blipFill>
                    <pic:spPr>
                      <a:xfrm>
                        <a:off x="0" y="0"/>
                        <a:ext cx="1816100" cy="221484"/>
                      </a:xfrm>
                      <a:prstGeom prst="rect">
                        <a:avLst/>
                      </a:prstGeom>
                    </pic:spPr>
                  </pic:pic>
                </a:graphicData>
              </a:graphic>
            </wp:anchor>
          </w:drawing>
        </w:r>
        <w:r w:rsidR="00656198" w:rsidRPr="00EF3A62">
          <w:rPr>
            <w:noProof/>
          </w:rPr>
          <w:drawing>
            <wp:anchor distT="0" distB="0" distL="114300" distR="114300" simplePos="0" relativeHeight="251667968" behindDoc="0" locked="0" layoutInCell="1" allowOverlap="1" wp14:anchorId="3066D6A5" wp14:editId="481205E6">
              <wp:simplePos x="0" y="0"/>
              <wp:positionH relativeFrom="page">
                <wp:posOffset>-6485</wp:posOffset>
              </wp:positionH>
              <wp:positionV relativeFrom="page">
                <wp:posOffset>10642059</wp:posOffset>
              </wp:positionV>
              <wp:extent cx="7586345" cy="64297"/>
              <wp:effectExtent l="0" t="0" r="0" b="0"/>
              <wp:wrapSquare wrapText="bothSides"/>
              <wp:docPr id="2143481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11026D9" w14:textId="553BD0BA" w:rsidR="00656198" w:rsidRPr="00206B48" w:rsidRDefault="00206B48" w:rsidP="00D7116C">
    <w:pPr>
      <w:pStyle w:val="NoSpacing"/>
      <w:jc w:val="right"/>
      <w:rPr>
        <w:rFonts w:ascii="Arial" w:hAnsi="Arial" w:cs="Arial"/>
        <w:sz w:val="24"/>
        <w:szCs w:val="24"/>
      </w:rPr>
    </w:pPr>
    <w:r w:rsidRPr="00206B48">
      <w:rPr>
        <w:rFonts w:cs="Arial"/>
        <w:szCs w:val="24"/>
      </w:rPr>
      <w:t xml:space="preserve"> </w:t>
    </w:r>
  </w:p>
  <w:p w14:paraId="0795E1F3" w14:textId="65002173" w:rsidR="00C46028" w:rsidRPr="00EF3A62" w:rsidRDefault="00C46028" w:rsidP="00656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F557" w14:textId="77777777" w:rsidR="001B5484" w:rsidRPr="00EF3A62" w:rsidRDefault="001B5484" w:rsidP="008F7D93">
      <w:r w:rsidRPr="00EF3A62">
        <w:separator/>
      </w:r>
    </w:p>
  </w:footnote>
  <w:footnote w:type="continuationSeparator" w:id="0">
    <w:p w14:paraId="2AC5CDA7" w14:textId="77777777" w:rsidR="001B5484" w:rsidRPr="00EF3A62" w:rsidRDefault="001B5484" w:rsidP="008F7D93">
      <w:r w:rsidRPr="00EF3A62">
        <w:continuationSeparator/>
      </w:r>
    </w:p>
  </w:footnote>
  <w:footnote w:type="continuationNotice" w:id="1">
    <w:p w14:paraId="27BB428C" w14:textId="77777777" w:rsidR="001B5484" w:rsidRPr="00EF3A62" w:rsidRDefault="001B5484"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AA5A" w14:textId="6CC9441B" w:rsidR="0043401F" w:rsidRPr="00EF3A62" w:rsidRDefault="00DA13B8">
    <w:pPr>
      <w:pStyle w:val="Header"/>
    </w:pPr>
    <w:r w:rsidRPr="00EF3A62">
      <w:rPr>
        <w:noProof/>
      </w:rPr>
      <w:drawing>
        <wp:anchor distT="0" distB="0" distL="114300" distR="114300" simplePos="0" relativeHeight="251655680" behindDoc="0" locked="0" layoutInCell="1" allowOverlap="1" wp14:anchorId="7C75C362" wp14:editId="2361295A">
          <wp:simplePos x="0" y="0"/>
          <wp:positionH relativeFrom="column">
            <wp:posOffset>4976703</wp:posOffset>
          </wp:positionH>
          <wp:positionV relativeFrom="paragraph">
            <wp:posOffset>361950</wp:posOffset>
          </wp:positionV>
          <wp:extent cx="1246297" cy="412750"/>
          <wp:effectExtent l="0" t="0" r="0" b="6350"/>
          <wp:wrapNone/>
          <wp:docPr id="170680668" name="Picture 3" descr="A picture containing text&#10;&#10;Description automatically generated">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457" cy="413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752" behindDoc="0" locked="0" layoutInCell="1" allowOverlap="1" wp14:anchorId="333785E6" wp14:editId="2A33F285">
          <wp:simplePos x="0" y="0"/>
          <wp:positionH relativeFrom="column">
            <wp:posOffset>101600</wp:posOffset>
          </wp:positionH>
          <wp:positionV relativeFrom="paragraph">
            <wp:posOffset>361950</wp:posOffset>
          </wp:positionV>
          <wp:extent cx="1028747" cy="355600"/>
          <wp:effectExtent l="0" t="0" r="0" b="6350"/>
          <wp:wrapNone/>
          <wp:docPr id="333828434" name="Picture 4">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31390" name="Picture 4">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8747"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B70C" w14:textId="0DA27A20" w:rsidR="004203CB" w:rsidRPr="00EF3A62" w:rsidRDefault="004203CB" w:rsidP="008F7D93">
    <w:pPr>
      <w:pStyle w:val="Header"/>
    </w:pPr>
  </w:p>
  <w:p w14:paraId="11E00D22" w14:textId="2E6F262C" w:rsidR="004C45E6" w:rsidRPr="00EF3A62" w:rsidRDefault="00656198" w:rsidP="008F7D93">
    <w:pPr>
      <w:pStyle w:val="Header"/>
    </w:pPr>
    <w:r w:rsidRPr="00EF3A62">
      <w:rPr>
        <w:noProof/>
      </w:rPr>
      <w:drawing>
        <wp:anchor distT="0" distB="0" distL="114300" distR="114300" simplePos="0" relativeHeight="251664896" behindDoc="0" locked="0" layoutInCell="1" allowOverlap="1" wp14:anchorId="57054495" wp14:editId="1972CC56">
          <wp:simplePos x="0" y="0"/>
          <wp:positionH relativeFrom="column">
            <wp:posOffset>0</wp:posOffset>
          </wp:positionH>
          <wp:positionV relativeFrom="paragraph">
            <wp:posOffset>110490</wp:posOffset>
          </wp:positionV>
          <wp:extent cx="3145790" cy="688340"/>
          <wp:effectExtent l="0" t="0" r="0" b="0"/>
          <wp:wrapNone/>
          <wp:docPr id="1280784265" name="Picture 4" descr="A black background with blue text&#10;&#10;Description automatically generated">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background with blue text&#10;&#10;Description automatically generated">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rsidRPr="00EF3A62">
      <w:rPr>
        <w:noProof/>
      </w:rPr>
      <w:drawing>
        <wp:anchor distT="0" distB="0" distL="114300" distR="114300" simplePos="0" relativeHeight="251661824" behindDoc="0" locked="0" layoutInCell="1" allowOverlap="1" wp14:anchorId="2E095319" wp14:editId="68912354">
          <wp:simplePos x="0" y="0"/>
          <wp:positionH relativeFrom="column">
            <wp:posOffset>4159885</wp:posOffset>
          </wp:positionH>
          <wp:positionV relativeFrom="paragraph">
            <wp:posOffset>114300</wp:posOffset>
          </wp:positionV>
          <wp:extent cx="2065020" cy="683895"/>
          <wp:effectExtent l="0" t="0" r="0" b="1905"/>
          <wp:wrapNone/>
          <wp:docPr id="2106029463" name="Picture 3" descr="A picture containing text&#10;&#10;Description automatically generated">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13EA0114-AFC9-EFE9-49C9-3DD10D377A5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86D"/>
    <w:multiLevelType w:val="hybridMultilevel"/>
    <w:tmpl w:val="BDAC0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1A017C"/>
    <w:multiLevelType w:val="hybridMultilevel"/>
    <w:tmpl w:val="A8C03706"/>
    <w:lvl w:ilvl="0" w:tplc="5A8894B2">
      <w:start w:val="1"/>
      <w:numFmt w:val="bullet"/>
      <w:pStyle w:val="Bullets"/>
      <w:lvlText w:val=""/>
      <w:lvlJc w:val="left"/>
      <w:pPr>
        <w:ind w:left="-720" w:hanging="360"/>
      </w:pPr>
      <w:rPr>
        <w:rFonts w:ascii="Symbol" w:hAnsi="Symbol" w:hint="default"/>
        <w:color w:val="1C1F63"/>
        <w:u w:color="1C1F63" w:themeColor="text1"/>
      </w:rPr>
    </w:lvl>
    <w:lvl w:ilvl="1" w:tplc="6256E598">
      <w:start w:val="1"/>
      <w:numFmt w:val="bullet"/>
      <w:lvlText w:val=""/>
      <w:lvlJc w:val="left"/>
      <w:pPr>
        <w:ind w:left="0" w:hanging="360"/>
      </w:pPr>
      <w:rPr>
        <w:rFonts w:ascii="Wingdings" w:hAnsi="Wingdings" w:hint="default"/>
        <w:color w:val="1C1F63"/>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 w15:restartNumberingAfterBreak="0">
    <w:nsid w:val="1562154F"/>
    <w:multiLevelType w:val="hybridMultilevel"/>
    <w:tmpl w:val="3C8C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E6E8F"/>
    <w:multiLevelType w:val="hybridMultilevel"/>
    <w:tmpl w:val="551C8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CB116A"/>
    <w:multiLevelType w:val="hybridMultilevel"/>
    <w:tmpl w:val="A0021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8EB1342"/>
    <w:multiLevelType w:val="hybridMultilevel"/>
    <w:tmpl w:val="499A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DB3640"/>
    <w:multiLevelType w:val="multilevel"/>
    <w:tmpl w:val="03401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3444778">
    <w:abstractNumId w:val="5"/>
  </w:num>
  <w:num w:numId="2" w16cid:durableId="2035573269">
    <w:abstractNumId w:val="1"/>
  </w:num>
  <w:num w:numId="3" w16cid:durableId="1794133680">
    <w:abstractNumId w:val="0"/>
  </w:num>
  <w:num w:numId="4" w16cid:durableId="1628975644">
    <w:abstractNumId w:val="6"/>
  </w:num>
  <w:num w:numId="5" w16cid:durableId="2100250332">
    <w:abstractNumId w:val="4"/>
  </w:num>
  <w:num w:numId="6" w16cid:durableId="51660618">
    <w:abstractNumId w:val="3"/>
  </w:num>
  <w:num w:numId="7" w16cid:durableId="1632829596">
    <w:abstractNumId w:val="2"/>
  </w:num>
  <w:num w:numId="8" w16cid:durableId="1004208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527F"/>
    <w:rsid w:val="00006CFF"/>
    <w:rsid w:val="00024844"/>
    <w:rsid w:val="0003731C"/>
    <w:rsid w:val="00041991"/>
    <w:rsid w:val="00042107"/>
    <w:rsid w:val="00042462"/>
    <w:rsid w:val="0005590B"/>
    <w:rsid w:val="000615EE"/>
    <w:rsid w:val="00082A01"/>
    <w:rsid w:val="00097A66"/>
    <w:rsid w:val="0009D228"/>
    <w:rsid w:val="000B1964"/>
    <w:rsid w:val="000D12CB"/>
    <w:rsid w:val="000D737C"/>
    <w:rsid w:val="000D76C8"/>
    <w:rsid w:val="00106714"/>
    <w:rsid w:val="00124668"/>
    <w:rsid w:val="00136B01"/>
    <w:rsid w:val="00162280"/>
    <w:rsid w:val="00165120"/>
    <w:rsid w:val="00166BBB"/>
    <w:rsid w:val="00167C5C"/>
    <w:rsid w:val="00167E4A"/>
    <w:rsid w:val="00173DE4"/>
    <w:rsid w:val="00174DD5"/>
    <w:rsid w:val="00180936"/>
    <w:rsid w:val="001868D9"/>
    <w:rsid w:val="00193E0D"/>
    <w:rsid w:val="001A3167"/>
    <w:rsid w:val="001A3200"/>
    <w:rsid w:val="001B5484"/>
    <w:rsid w:val="001B7B44"/>
    <w:rsid w:val="001C5B47"/>
    <w:rsid w:val="001D7CF7"/>
    <w:rsid w:val="001F2B6B"/>
    <w:rsid w:val="00202D24"/>
    <w:rsid w:val="002066AB"/>
    <w:rsid w:val="00206B48"/>
    <w:rsid w:val="002256F7"/>
    <w:rsid w:val="00226D41"/>
    <w:rsid w:val="00236BBD"/>
    <w:rsid w:val="00242141"/>
    <w:rsid w:val="0025149E"/>
    <w:rsid w:val="002625EA"/>
    <w:rsid w:val="00264C16"/>
    <w:rsid w:val="00266657"/>
    <w:rsid w:val="002701E2"/>
    <w:rsid w:val="00271AFE"/>
    <w:rsid w:val="00272238"/>
    <w:rsid w:val="00283C79"/>
    <w:rsid w:val="002A7AEC"/>
    <w:rsid w:val="002B234B"/>
    <w:rsid w:val="002B2BF3"/>
    <w:rsid w:val="002B7AB4"/>
    <w:rsid w:val="002C0956"/>
    <w:rsid w:val="002C2763"/>
    <w:rsid w:val="002C4695"/>
    <w:rsid w:val="002C6F8D"/>
    <w:rsid w:val="002D7925"/>
    <w:rsid w:val="002E4668"/>
    <w:rsid w:val="002E60B0"/>
    <w:rsid w:val="002E7EB4"/>
    <w:rsid w:val="002F0A54"/>
    <w:rsid w:val="002F243A"/>
    <w:rsid w:val="002F569E"/>
    <w:rsid w:val="0030747B"/>
    <w:rsid w:val="003213E5"/>
    <w:rsid w:val="00327BCF"/>
    <w:rsid w:val="00344CA3"/>
    <w:rsid w:val="0035000D"/>
    <w:rsid w:val="00362423"/>
    <w:rsid w:val="003751DD"/>
    <w:rsid w:val="00384D9D"/>
    <w:rsid w:val="00392DE3"/>
    <w:rsid w:val="00392E58"/>
    <w:rsid w:val="0039609C"/>
    <w:rsid w:val="003A7CC3"/>
    <w:rsid w:val="003B64BD"/>
    <w:rsid w:val="003D2C31"/>
    <w:rsid w:val="003D3372"/>
    <w:rsid w:val="003D3815"/>
    <w:rsid w:val="003F18EF"/>
    <w:rsid w:val="004124B7"/>
    <w:rsid w:val="00413606"/>
    <w:rsid w:val="004203CB"/>
    <w:rsid w:val="004206FD"/>
    <w:rsid w:val="00421E30"/>
    <w:rsid w:val="0042343F"/>
    <w:rsid w:val="0043292E"/>
    <w:rsid w:val="0043401F"/>
    <w:rsid w:val="00440537"/>
    <w:rsid w:val="004478C1"/>
    <w:rsid w:val="00465668"/>
    <w:rsid w:val="00467817"/>
    <w:rsid w:val="004705A4"/>
    <w:rsid w:val="0047703A"/>
    <w:rsid w:val="00477D34"/>
    <w:rsid w:val="004803F3"/>
    <w:rsid w:val="0049162E"/>
    <w:rsid w:val="00497E6A"/>
    <w:rsid w:val="004A2392"/>
    <w:rsid w:val="004A5EF6"/>
    <w:rsid w:val="004C07D8"/>
    <w:rsid w:val="004C45E6"/>
    <w:rsid w:val="004D0430"/>
    <w:rsid w:val="004F55EE"/>
    <w:rsid w:val="00503FF4"/>
    <w:rsid w:val="005062CF"/>
    <w:rsid w:val="00525E03"/>
    <w:rsid w:val="00536AB2"/>
    <w:rsid w:val="00541C8D"/>
    <w:rsid w:val="00552EEF"/>
    <w:rsid w:val="00566674"/>
    <w:rsid w:val="005718E7"/>
    <w:rsid w:val="005922A7"/>
    <w:rsid w:val="005B6A92"/>
    <w:rsid w:val="005C11C0"/>
    <w:rsid w:val="005D265D"/>
    <w:rsid w:val="005F2AAA"/>
    <w:rsid w:val="006001EA"/>
    <w:rsid w:val="0060055F"/>
    <w:rsid w:val="00610607"/>
    <w:rsid w:val="00621DD3"/>
    <w:rsid w:val="00623100"/>
    <w:rsid w:val="00640023"/>
    <w:rsid w:val="00641F03"/>
    <w:rsid w:val="0065030B"/>
    <w:rsid w:val="00652C02"/>
    <w:rsid w:val="00656198"/>
    <w:rsid w:val="00661F42"/>
    <w:rsid w:val="0066439E"/>
    <w:rsid w:val="006B19EE"/>
    <w:rsid w:val="006D35F1"/>
    <w:rsid w:val="006D53D1"/>
    <w:rsid w:val="006D79FC"/>
    <w:rsid w:val="006E79E7"/>
    <w:rsid w:val="006F5746"/>
    <w:rsid w:val="006F5A26"/>
    <w:rsid w:val="006F7C91"/>
    <w:rsid w:val="007316B3"/>
    <w:rsid w:val="00733D06"/>
    <w:rsid w:val="0074157A"/>
    <w:rsid w:val="00744C9D"/>
    <w:rsid w:val="007512D7"/>
    <w:rsid w:val="00763B8A"/>
    <w:rsid w:val="00767CEC"/>
    <w:rsid w:val="00770540"/>
    <w:rsid w:val="00774021"/>
    <w:rsid w:val="007740FD"/>
    <w:rsid w:val="00781ED0"/>
    <w:rsid w:val="00782F52"/>
    <w:rsid w:val="007978C0"/>
    <w:rsid w:val="007A7DDA"/>
    <w:rsid w:val="007B7C0D"/>
    <w:rsid w:val="007C0DCF"/>
    <w:rsid w:val="007C36E6"/>
    <w:rsid w:val="007D1F8F"/>
    <w:rsid w:val="007D4E1C"/>
    <w:rsid w:val="007E1896"/>
    <w:rsid w:val="007E6304"/>
    <w:rsid w:val="007F69F7"/>
    <w:rsid w:val="00800083"/>
    <w:rsid w:val="00801071"/>
    <w:rsid w:val="008032A2"/>
    <w:rsid w:val="00804088"/>
    <w:rsid w:val="00806EB4"/>
    <w:rsid w:val="00816988"/>
    <w:rsid w:val="00821848"/>
    <w:rsid w:val="00835856"/>
    <w:rsid w:val="00840A18"/>
    <w:rsid w:val="00856B91"/>
    <w:rsid w:val="00866147"/>
    <w:rsid w:val="00867F20"/>
    <w:rsid w:val="00873B77"/>
    <w:rsid w:val="00882951"/>
    <w:rsid w:val="008932B2"/>
    <w:rsid w:val="00894417"/>
    <w:rsid w:val="008966D0"/>
    <w:rsid w:val="008B01BB"/>
    <w:rsid w:val="008B0907"/>
    <w:rsid w:val="008F2014"/>
    <w:rsid w:val="008F53AE"/>
    <w:rsid w:val="008F7D93"/>
    <w:rsid w:val="00913B7A"/>
    <w:rsid w:val="00917835"/>
    <w:rsid w:val="009208F4"/>
    <w:rsid w:val="00922DF6"/>
    <w:rsid w:val="00923E3F"/>
    <w:rsid w:val="009252D6"/>
    <w:rsid w:val="00946BEE"/>
    <w:rsid w:val="00956071"/>
    <w:rsid w:val="009576EA"/>
    <w:rsid w:val="00961464"/>
    <w:rsid w:val="0097576D"/>
    <w:rsid w:val="00991D41"/>
    <w:rsid w:val="009A1042"/>
    <w:rsid w:val="009A58F7"/>
    <w:rsid w:val="009B4DEF"/>
    <w:rsid w:val="009C362A"/>
    <w:rsid w:val="009C581C"/>
    <w:rsid w:val="009F43D6"/>
    <w:rsid w:val="009F65CF"/>
    <w:rsid w:val="00A01356"/>
    <w:rsid w:val="00A02D1C"/>
    <w:rsid w:val="00A032EE"/>
    <w:rsid w:val="00A06FEE"/>
    <w:rsid w:val="00A12EEC"/>
    <w:rsid w:val="00A13822"/>
    <w:rsid w:val="00A16E37"/>
    <w:rsid w:val="00A34273"/>
    <w:rsid w:val="00A4757B"/>
    <w:rsid w:val="00A72DF4"/>
    <w:rsid w:val="00A85B06"/>
    <w:rsid w:val="00AA54A0"/>
    <w:rsid w:val="00AB274C"/>
    <w:rsid w:val="00AB45A7"/>
    <w:rsid w:val="00AB68A8"/>
    <w:rsid w:val="00AC0DB2"/>
    <w:rsid w:val="00AC6C33"/>
    <w:rsid w:val="00AE63FA"/>
    <w:rsid w:val="00AE79FA"/>
    <w:rsid w:val="00AF2213"/>
    <w:rsid w:val="00AF3F45"/>
    <w:rsid w:val="00B024E8"/>
    <w:rsid w:val="00B053E7"/>
    <w:rsid w:val="00B376EA"/>
    <w:rsid w:val="00B44C60"/>
    <w:rsid w:val="00B55ED7"/>
    <w:rsid w:val="00B60EDB"/>
    <w:rsid w:val="00B6291C"/>
    <w:rsid w:val="00B64089"/>
    <w:rsid w:val="00B86278"/>
    <w:rsid w:val="00BB6080"/>
    <w:rsid w:val="00BC2928"/>
    <w:rsid w:val="00BC29B9"/>
    <w:rsid w:val="00BD29C7"/>
    <w:rsid w:val="00BE21F2"/>
    <w:rsid w:val="00BF59AB"/>
    <w:rsid w:val="00C0090E"/>
    <w:rsid w:val="00C01832"/>
    <w:rsid w:val="00C07FE9"/>
    <w:rsid w:val="00C12115"/>
    <w:rsid w:val="00C1261E"/>
    <w:rsid w:val="00C208F3"/>
    <w:rsid w:val="00C31347"/>
    <w:rsid w:val="00C35D96"/>
    <w:rsid w:val="00C378EB"/>
    <w:rsid w:val="00C40403"/>
    <w:rsid w:val="00C419F6"/>
    <w:rsid w:val="00C423EF"/>
    <w:rsid w:val="00C451CD"/>
    <w:rsid w:val="00C46028"/>
    <w:rsid w:val="00C51CC1"/>
    <w:rsid w:val="00C5215A"/>
    <w:rsid w:val="00C627B8"/>
    <w:rsid w:val="00C66C49"/>
    <w:rsid w:val="00C737D3"/>
    <w:rsid w:val="00C80152"/>
    <w:rsid w:val="00C804CB"/>
    <w:rsid w:val="00C85593"/>
    <w:rsid w:val="00C9472C"/>
    <w:rsid w:val="00CA0992"/>
    <w:rsid w:val="00CB550A"/>
    <w:rsid w:val="00CC69FF"/>
    <w:rsid w:val="00CD78D1"/>
    <w:rsid w:val="00CE0CB6"/>
    <w:rsid w:val="00CF223C"/>
    <w:rsid w:val="00CF2E2F"/>
    <w:rsid w:val="00D0200D"/>
    <w:rsid w:val="00D03A16"/>
    <w:rsid w:val="00D14C4C"/>
    <w:rsid w:val="00D1520F"/>
    <w:rsid w:val="00D22076"/>
    <w:rsid w:val="00D23755"/>
    <w:rsid w:val="00D25B58"/>
    <w:rsid w:val="00D400A9"/>
    <w:rsid w:val="00D423FB"/>
    <w:rsid w:val="00D42D1E"/>
    <w:rsid w:val="00D45269"/>
    <w:rsid w:val="00D518F9"/>
    <w:rsid w:val="00D52B14"/>
    <w:rsid w:val="00D6392B"/>
    <w:rsid w:val="00D666A3"/>
    <w:rsid w:val="00D70EB7"/>
    <w:rsid w:val="00D7116C"/>
    <w:rsid w:val="00D712F9"/>
    <w:rsid w:val="00D77307"/>
    <w:rsid w:val="00DA13B8"/>
    <w:rsid w:val="00DA4766"/>
    <w:rsid w:val="00DB09EE"/>
    <w:rsid w:val="00DD17AD"/>
    <w:rsid w:val="00DD50E9"/>
    <w:rsid w:val="00DE4731"/>
    <w:rsid w:val="00DE704D"/>
    <w:rsid w:val="00DE772B"/>
    <w:rsid w:val="00E0693A"/>
    <w:rsid w:val="00E10DB6"/>
    <w:rsid w:val="00E13AD5"/>
    <w:rsid w:val="00E34B08"/>
    <w:rsid w:val="00E4144B"/>
    <w:rsid w:val="00E60EC0"/>
    <w:rsid w:val="00E67B06"/>
    <w:rsid w:val="00E82EA5"/>
    <w:rsid w:val="00E83A06"/>
    <w:rsid w:val="00EB01A8"/>
    <w:rsid w:val="00EB1483"/>
    <w:rsid w:val="00EB2B3B"/>
    <w:rsid w:val="00EB691A"/>
    <w:rsid w:val="00EC47E4"/>
    <w:rsid w:val="00ED4277"/>
    <w:rsid w:val="00EE29D1"/>
    <w:rsid w:val="00EE7378"/>
    <w:rsid w:val="00EF3A62"/>
    <w:rsid w:val="00F0444E"/>
    <w:rsid w:val="00F06381"/>
    <w:rsid w:val="00F12428"/>
    <w:rsid w:val="00F371D2"/>
    <w:rsid w:val="00F54E89"/>
    <w:rsid w:val="00F552A8"/>
    <w:rsid w:val="00F56A74"/>
    <w:rsid w:val="00F572BF"/>
    <w:rsid w:val="00F82749"/>
    <w:rsid w:val="00F94417"/>
    <w:rsid w:val="00F952A7"/>
    <w:rsid w:val="00FA2EB3"/>
    <w:rsid w:val="00FA3427"/>
    <w:rsid w:val="00FB4DAC"/>
    <w:rsid w:val="00FD34FD"/>
    <w:rsid w:val="00FD7D82"/>
    <w:rsid w:val="00FF27BD"/>
    <w:rsid w:val="00FF3BF3"/>
    <w:rsid w:val="28CDCB61"/>
    <w:rsid w:val="37426E97"/>
    <w:rsid w:val="57CF4A76"/>
    <w:rsid w:val="5A715453"/>
    <w:rsid w:val="63FA52FC"/>
    <w:rsid w:val="67BC6CA3"/>
    <w:rsid w:val="7D4C7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130E13EC-F8D3-4979-AAA5-3E7258E3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384D9D"/>
    <w:rPr>
      <w:rFonts w:ascii="Arial" w:hAnsi="Arial"/>
      <w:sz w:val="24"/>
      <w:lang w:val="en-GB"/>
    </w:rPr>
  </w:style>
  <w:style w:type="paragraph" w:styleId="Heading1">
    <w:name w:val="heading 1"/>
    <w:basedOn w:val="Normal"/>
    <w:next w:val="Normal"/>
    <w:link w:val="Heading1Char"/>
    <w:uiPriority w:val="9"/>
    <w:qFormat/>
    <w:rsid w:val="007F69F7"/>
    <w:pPr>
      <w:keepNext/>
      <w:keepLines/>
      <w:spacing w:before="240" w:after="0"/>
      <w:outlineLvl w:val="0"/>
    </w:pPr>
    <w:rPr>
      <w:rFonts w:ascii="Arial Black" w:eastAsiaTheme="majorEastAsia" w:hAnsi="Arial Black" w:cstheme="majorBidi"/>
      <w:color w:val="1C1F63" w:themeColor="text1"/>
      <w:sz w:val="48"/>
      <w:szCs w:val="32"/>
    </w:rPr>
  </w:style>
  <w:style w:type="paragraph" w:styleId="Heading2">
    <w:name w:val="heading 2"/>
    <w:basedOn w:val="Normal"/>
    <w:next w:val="Normal"/>
    <w:link w:val="Heading2Char"/>
    <w:uiPriority w:val="9"/>
    <w:qFormat/>
    <w:rsid w:val="00226D41"/>
    <w:pPr>
      <w:keepNext/>
      <w:keepLines/>
      <w:spacing w:before="240" w:after="0"/>
      <w:outlineLvl w:val="1"/>
    </w:pPr>
    <w:rPr>
      <w:rFonts w:ascii="Arial Black" w:eastAsiaTheme="majorEastAsia" w:hAnsi="Arial Black" w:cstheme="majorBidi"/>
      <w:color w:val="1C1F63"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semiHidden/>
    <w:rsid w:val="006E79E7"/>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semiHidden/>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customStyle="1" w:styleId="CommentTextChar">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1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basedOn w:val="Normal"/>
    <w:uiPriority w:val="34"/>
    <w:qFormat/>
    <w:rsid w:val="00413606"/>
    <w:pPr>
      <w:ind w:left="720"/>
      <w:contextualSpacing/>
    </w:pPr>
  </w:style>
  <w:style w:type="paragraph" w:customStyle="1" w:styleId="Bullets">
    <w:name w:val="Bullets"/>
    <w:basedOn w:val="ListParagraph"/>
    <w:uiPriority w:val="10"/>
    <w:qFormat/>
    <w:rsid w:val="00F371D2"/>
    <w:pPr>
      <w:numPr>
        <w:numId w:val="2"/>
      </w:numPr>
      <w:ind w:left="1077" w:hanging="357"/>
    </w:pPr>
  </w:style>
  <w:style w:type="table" w:styleId="TableGrid">
    <w:name w:val="Table Grid"/>
    <w:basedOn w:val="TableNormal"/>
    <w:uiPriority w:val="39"/>
    <w:rsid w:val="00AE79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sz="4" w:space="0" w:color="90BCFB" w:themeColor="accent2" w:themeTint="66"/>
        <w:left w:val="single" w:sz="4" w:space="0" w:color="90BCFB" w:themeColor="accent2" w:themeTint="66"/>
        <w:bottom w:val="single" w:sz="4" w:space="0" w:color="90BCFB" w:themeColor="accent2" w:themeTint="66"/>
        <w:right w:val="single" w:sz="4" w:space="0" w:color="90BCFB" w:themeColor="accent2" w:themeTint="66"/>
        <w:insideH w:val="single" w:sz="4" w:space="0" w:color="90BCFB" w:themeColor="accent2" w:themeTint="66"/>
        <w:insideV w:val="single" w:sz="4" w:space="0" w:color="90BCFB" w:themeColor="accent2" w:themeTint="66"/>
      </w:tblBorders>
    </w:tblPr>
    <w:tblStylePr w:type="firstRow">
      <w:rPr>
        <w:b/>
        <w:bCs/>
      </w:rPr>
      <w:tblPr/>
      <w:tcPr>
        <w:tcBorders>
          <w:bottom w:val="single" w:sz="12" w:space="0" w:color="599AF9" w:themeColor="accent2" w:themeTint="99"/>
        </w:tcBorders>
      </w:tcPr>
    </w:tblStylePr>
    <w:tblStylePr w:type="lastRow">
      <w:rPr>
        <w:b/>
        <w:bCs/>
      </w:rPr>
      <w:tblPr/>
      <w:tcPr>
        <w:tcBorders>
          <w:top w:val="double" w:sz="2" w:space="0" w:color="599AF9"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sz="4" w:space="0" w:color="075EDB" w:themeColor="accent2"/>
        <w:left w:val="single" w:sz="4" w:space="0" w:color="075EDB" w:themeColor="accent2"/>
        <w:bottom w:val="single" w:sz="4" w:space="0" w:color="075EDB" w:themeColor="accent2"/>
        <w:right w:val="single" w:sz="4" w:space="0" w:color="075EDB" w:themeColor="accent2"/>
      </w:tblBorders>
    </w:tblPr>
    <w:tblStylePr w:type="firstRow">
      <w:rPr>
        <w:b/>
        <w:bCs/>
        <w:color w:val="FFFFFF" w:themeColor="background1"/>
      </w:rPr>
      <w:tblPr/>
      <w:tcPr>
        <w:shd w:val="clear" w:color="auto" w:fill="075EDB" w:themeFill="accent2"/>
      </w:tcPr>
    </w:tblStylePr>
    <w:tblStylePr w:type="lastRow">
      <w:rPr>
        <w:b/>
        <w:bCs/>
      </w:rPr>
      <w:tblPr/>
      <w:tcPr>
        <w:tcBorders>
          <w:top w:val="double" w:sz="4" w:space="0" w:color="075ED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EDB" w:themeColor="accent2"/>
          <w:right w:val="single" w:sz="4" w:space="0" w:color="075EDB" w:themeColor="accent2"/>
        </w:tcBorders>
      </w:tcPr>
    </w:tblStylePr>
    <w:tblStylePr w:type="band1Horz">
      <w:tblPr/>
      <w:tcPr>
        <w:tcBorders>
          <w:top w:val="single" w:sz="4" w:space="0" w:color="075EDB" w:themeColor="accent2"/>
          <w:bottom w:val="single" w:sz="4" w:space="0" w:color="075ED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EDB" w:themeColor="accent2"/>
          <w:left w:val="nil"/>
        </w:tcBorders>
      </w:tcPr>
    </w:tblStylePr>
    <w:tblStylePr w:type="swCell">
      <w:tblPr/>
      <w:tcPr>
        <w:tcBorders>
          <w:top w:val="double" w:sz="4" w:space="0" w:color="075EDB" w:themeColor="accent2"/>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sz="4" w:space="0" w:color="1C1F63" w:themeColor="accent3"/>
        <w:left w:val="single" w:sz="4" w:space="0" w:color="1C1F63" w:themeColor="accent3"/>
        <w:bottom w:val="single" w:sz="4" w:space="0" w:color="1C1F63" w:themeColor="accent3"/>
        <w:right w:val="single" w:sz="4" w:space="0" w:color="1C1F63" w:themeColor="accent3"/>
      </w:tblBorders>
    </w:tblPr>
    <w:tblStylePr w:type="firstRow">
      <w:rPr>
        <w:b/>
        <w:bCs/>
        <w:color w:val="FFFFFF" w:themeColor="background1"/>
      </w:rPr>
      <w:tblPr/>
      <w:tcPr>
        <w:shd w:val="clear" w:color="auto" w:fill="1C1F63" w:themeFill="accent3"/>
      </w:tcPr>
    </w:tblStylePr>
    <w:tblStylePr w:type="lastRow">
      <w:rPr>
        <w:b/>
        <w:bCs/>
      </w:rPr>
      <w:tblPr/>
      <w:tcPr>
        <w:tcBorders>
          <w:top w:val="double" w:sz="4" w:space="0" w:color="1C1F6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3"/>
          <w:right w:val="single" w:sz="4" w:space="0" w:color="1C1F63" w:themeColor="accent3"/>
        </w:tcBorders>
      </w:tcPr>
    </w:tblStylePr>
    <w:tblStylePr w:type="band1Horz">
      <w:tblPr/>
      <w:tcPr>
        <w:tcBorders>
          <w:top w:val="single" w:sz="4" w:space="0" w:color="1C1F63" w:themeColor="accent3"/>
          <w:bottom w:val="single" w:sz="4" w:space="0" w:color="1C1F6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3"/>
          <w:left w:val="nil"/>
        </w:tcBorders>
      </w:tcPr>
    </w:tblStylePr>
    <w:tblStylePr w:type="swCell">
      <w:tblPr/>
      <w:tcPr>
        <w:tcBorders>
          <w:top w:val="double" w:sz="4" w:space="0" w:color="1C1F63" w:themeColor="accent3"/>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sz="4" w:space="0" w:color="075EDB" w:themeColor="accent4"/>
        <w:left w:val="single" w:sz="4" w:space="0" w:color="075EDB" w:themeColor="accent4"/>
        <w:bottom w:val="single" w:sz="4" w:space="0" w:color="075EDB" w:themeColor="accent4"/>
        <w:right w:val="single" w:sz="4" w:space="0" w:color="075EDB" w:themeColor="accent4"/>
      </w:tblBorders>
    </w:tblPr>
    <w:tblStylePr w:type="firstRow">
      <w:rPr>
        <w:b/>
        <w:bCs/>
        <w:color w:val="FFFFFF" w:themeColor="background1"/>
      </w:rPr>
      <w:tblPr/>
      <w:tcPr>
        <w:shd w:val="clear" w:color="auto" w:fill="075EDB" w:themeFill="accent4"/>
      </w:tcPr>
    </w:tblStylePr>
    <w:tblStylePr w:type="lastRow">
      <w:rPr>
        <w:b/>
        <w:bCs/>
      </w:rPr>
      <w:tblPr/>
      <w:tcPr>
        <w:tcBorders>
          <w:top w:val="double" w:sz="4" w:space="0" w:color="075E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EDB" w:themeColor="accent4"/>
          <w:right w:val="single" w:sz="4" w:space="0" w:color="075EDB" w:themeColor="accent4"/>
        </w:tcBorders>
      </w:tcPr>
    </w:tblStylePr>
    <w:tblStylePr w:type="band1Horz">
      <w:tblPr/>
      <w:tcPr>
        <w:tcBorders>
          <w:top w:val="single" w:sz="4" w:space="0" w:color="075EDB" w:themeColor="accent4"/>
          <w:bottom w:val="single" w:sz="4" w:space="0" w:color="075E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EDB" w:themeColor="accent4"/>
          <w:left w:val="nil"/>
        </w:tcBorders>
      </w:tcPr>
    </w:tblStylePr>
    <w:tblStylePr w:type="swCell">
      <w:tblPr/>
      <w:tcPr>
        <w:tcBorders>
          <w:top w:val="double" w:sz="4" w:space="0" w:color="075EDB" w:themeColor="accent4"/>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 w:type="character" w:customStyle="1" w:styleId="Heading1Char">
    <w:name w:val="Heading 1 Char"/>
    <w:basedOn w:val="DefaultParagraphFont"/>
    <w:link w:val="Heading1"/>
    <w:uiPriority w:val="9"/>
    <w:rsid w:val="007F69F7"/>
    <w:rPr>
      <w:rFonts w:ascii="Arial Black" w:eastAsiaTheme="majorEastAsia" w:hAnsi="Arial Black" w:cstheme="majorBidi"/>
      <w:color w:val="1C1F63" w:themeColor="text1"/>
      <w:sz w:val="48"/>
      <w:szCs w:val="32"/>
      <w:lang w:val="en-GB"/>
    </w:rPr>
  </w:style>
  <w:style w:type="character" w:customStyle="1" w:styleId="Heading2Char">
    <w:name w:val="Heading 2 Char"/>
    <w:basedOn w:val="DefaultParagraphFont"/>
    <w:link w:val="Heading2"/>
    <w:uiPriority w:val="9"/>
    <w:rsid w:val="007F69F7"/>
    <w:rPr>
      <w:rFonts w:ascii="Arial Black" w:eastAsiaTheme="majorEastAsia" w:hAnsi="Arial Black" w:cstheme="majorBidi"/>
      <w:color w:val="1C1F63" w:themeColor="text1"/>
      <w:sz w:val="28"/>
      <w:szCs w:val="26"/>
      <w:lang w:val="en-GB"/>
    </w:rPr>
  </w:style>
  <w:style w:type="paragraph" w:styleId="NoSpacing">
    <w:name w:val="No Spacing"/>
    <w:uiPriority w:val="1"/>
    <w:qFormat/>
    <w:rsid w:val="002B2BF3"/>
    <w:pPr>
      <w:spacing w:after="0" w:line="240" w:lineRule="auto"/>
    </w:pPr>
    <w:rPr>
      <w:rFonts w:eastAsiaTheme="minorEastAsia"/>
      <w:lang w:val="en-GB" w:eastAsia="en-GB"/>
    </w:rPr>
  </w:style>
  <w:style w:type="table" w:customStyle="1" w:styleId="NHSBNSSGBlankTable">
    <w:name w:val="NHS BNSSG Blank Table"/>
    <w:basedOn w:val="TableNormal"/>
    <w:uiPriority w:val="99"/>
    <w:rsid w:val="002B2BF3"/>
    <w:pPr>
      <w:spacing w:after="0" w:line="240" w:lineRule="auto"/>
    </w:pPr>
    <w:tblPr>
      <w:tblInd w:w="0" w:type="nil"/>
      <w:tblCellMar>
        <w:left w:w="0" w:type="dxa"/>
        <w:right w:w="0" w:type="dxa"/>
      </w:tblCellMar>
    </w:tblPr>
  </w:style>
  <w:style w:type="paragraph" w:styleId="Revision">
    <w:name w:val="Revision"/>
    <w:hidden/>
    <w:uiPriority w:val="99"/>
    <w:semiHidden/>
    <w:rsid w:val="00D7116C"/>
    <w:pPr>
      <w:spacing w:after="0" w:line="240" w:lineRule="auto"/>
    </w:pPr>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6486">
      <w:bodyDiv w:val="1"/>
      <w:marLeft w:val="0"/>
      <w:marRight w:val="0"/>
      <w:marTop w:val="0"/>
      <w:marBottom w:val="0"/>
      <w:divBdr>
        <w:top w:val="none" w:sz="0" w:space="0" w:color="auto"/>
        <w:left w:val="none" w:sz="0" w:space="0" w:color="auto"/>
        <w:bottom w:val="none" w:sz="0" w:space="0" w:color="auto"/>
        <w:right w:val="none" w:sz="0" w:space="0" w:color="auto"/>
      </w:divBdr>
    </w:div>
    <w:div w:id="203371545">
      <w:bodyDiv w:val="1"/>
      <w:marLeft w:val="0"/>
      <w:marRight w:val="0"/>
      <w:marTop w:val="0"/>
      <w:marBottom w:val="0"/>
      <w:divBdr>
        <w:top w:val="none" w:sz="0" w:space="0" w:color="auto"/>
        <w:left w:val="none" w:sz="0" w:space="0" w:color="auto"/>
        <w:bottom w:val="none" w:sz="0" w:space="0" w:color="auto"/>
        <w:right w:val="none" w:sz="0" w:space="0" w:color="auto"/>
      </w:divBdr>
    </w:div>
    <w:div w:id="244386301">
      <w:bodyDiv w:val="1"/>
      <w:marLeft w:val="0"/>
      <w:marRight w:val="0"/>
      <w:marTop w:val="0"/>
      <w:marBottom w:val="0"/>
      <w:divBdr>
        <w:top w:val="none" w:sz="0" w:space="0" w:color="auto"/>
        <w:left w:val="none" w:sz="0" w:space="0" w:color="auto"/>
        <w:bottom w:val="none" w:sz="0" w:space="0" w:color="auto"/>
        <w:right w:val="none" w:sz="0" w:space="0" w:color="auto"/>
      </w:divBdr>
    </w:div>
    <w:div w:id="338971419">
      <w:bodyDiv w:val="1"/>
      <w:marLeft w:val="0"/>
      <w:marRight w:val="0"/>
      <w:marTop w:val="0"/>
      <w:marBottom w:val="0"/>
      <w:divBdr>
        <w:top w:val="none" w:sz="0" w:space="0" w:color="auto"/>
        <w:left w:val="none" w:sz="0" w:space="0" w:color="auto"/>
        <w:bottom w:val="none" w:sz="0" w:space="0" w:color="auto"/>
        <w:right w:val="none" w:sz="0" w:space="0" w:color="auto"/>
      </w:divBdr>
    </w:div>
    <w:div w:id="74831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nssghealthiertogether.org.uk/purpos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Healthier Together with ICB document">
      <a:dk1>
        <a:srgbClr val="1C1F63"/>
      </a:dk1>
      <a:lt1>
        <a:sysClr val="window" lastClr="FFFFFF"/>
      </a:lt1>
      <a:dk2>
        <a:srgbClr val="44546A"/>
      </a:dk2>
      <a:lt2>
        <a:srgbClr val="E7E6E6"/>
      </a:lt2>
      <a:accent1>
        <a:srgbClr val="1C1F63"/>
      </a:accent1>
      <a:accent2>
        <a:srgbClr val="075EDB"/>
      </a:accent2>
      <a:accent3>
        <a:srgbClr val="1C1F63"/>
      </a:accent3>
      <a:accent4>
        <a:srgbClr val="075EDB"/>
      </a:accent4>
      <a:accent5>
        <a:srgbClr val="1C1F63"/>
      </a:accent5>
      <a:accent6>
        <a:srgbClr val="075EDB"/>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27FA4040FC24A80A63F4C2205E1CD" ma:contentTypeVersion="16" ma:contentTypeDescription="Create a new document." ma:contentTypeScope="" ma:versionID="863989d41c3f6d4bf26cb3400801d13a">
  <xsd:schema xmlns:xsd="http://www.w3.org/2001/XMLSchema" xmlns:xs="http://www.w3.org/2001/XMLSchema" xmlns:p="http://schemas.microsoft.com/office/2006/metadata/properties" xmlns:ns2="9481131a-5ef9-4c1f-b17b-99b9c4b05bfc" xmlns:ns3="321487e1-d70a-4ac7-a45d-cb1aeb6d772e" targetNamespace="http://schemas.microsoft.com/office/2006/metadata/properties" ma:root="true" ma:fieldsID="5c90ab8f5065901e82a2cf77f49cff08" ns2:_="" ns3:_="">
    <xsd:import namespace="9481131a-5ef9-4c1f-b17b-99b9c4b05bfc"/>
    <xsd:import namespace="321487e1-d70a-4ac7-a45d-cb1aeb6d7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1131a-5ef9-4c1f-b17b-99b9c4b05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1487e1-d70a-4ac7-a45d-cb1aeb6d77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8cb318-8806-40fa-b3cd-d3ee06e44939}" ma:internalName="TaxCatchAll" ma:showField="CatchAllData" ma:web="321487e1-d70a-4ac7-a45d-cb1aeb6d7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81131a-5ef9-4c1f-b17b-99b9c4b05bfc">
      <Terms xmlns="http://schemas.microsoft.com/office/infopath/2007/PartnerControls"/>
    </lcf76f155ced4ddcb4097134ff3c332f>
    <TaxCatchAll xmlns="321487e1-d70a-4ac7-a45d-cb1aeb6d772e" xsi:nil="true"/>
    <SharedWithUsers xmlns="321487e1-d70a-4ac7-a45d-cb1aeb6d772e">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C2806-087E-4D4B-99AC-D3973484A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1131a-5ef9-4c1f-b17b-99b9c4b05bfc"/>
    <ds:schemaRef ds:uri="321487e1-d70a-4ac7-a45d-cb1aeb6d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4711C-A410-452D-9C4D-F8F4CBD2A4AC}">
  <ds:schemaRefs>
    <ds:schemaRef ds:uri="http://schemas.microsoft.com/office/2006/metadata/properties"/>
    <ds:schemaRef ds:uri="http://schemas.microsoft.com/office/infopath/2007/PartnerControls"/>
    <ds:schemaRef ds:uri="9481131a-5ef9-4c1f-b17b-99b9c4b05bfc"/>
    <ds:schemaRef ds:uri="321487e1-d70a-4ac7-a45d-cb1aeb6d772e"/>
  </ds:schemaRefs>
</ds:datastoreItem>
</file>

<file path=customXml/itemProps3.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4.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852</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blank template January 2019</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 January 2019</dc:title>
  <dc:subject/>
  <dc:creator>Suvidha Bane</dc:creator>
  <cp:keywords/>
  <dc:description/>
  <cp:lastModifiedBy>BRUSH, Emily (NHS BRISTOL, NORTH SOMERSET AND SOUTH GLOUCESTERSHIRE ICB - 15C)</cp:lastModifiedBy>
  <cp:revision>4</cp:revision>
  <cp:lastPrinted>2024-09-25T07:46:00Z</cp:lastPrinted>
  <dcterms:created xsi:type="dcterms:W3CDTF">2025-10-27T10:04:00Z</dcterms:created>
  <dcterms:modified xsi:type="dcterms:W3CDTF">2025-10-28T15:47:00Z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0x01010013227FA4040FC24A80A63F4C2205E1CD</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ies>
</file>