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878FB" w14:textId="218B286B" w:rsidR="00C37580" w:rsidRDefault="00456057" w:rsidP="00335D67">
      <w:pPr>
        <w:jc w:val="center"/>
        <w:rPr>
          <w:rFonts w:ascii="Arial" w:hAnsi="Arial" w:cs="Arial"/>
          <w:b/>
          <w:bCs/>
          <w:color w:val="0070C0"/>
          <w:sz w:val="28"/>
          <w:szCs w:val="28"/>
        </w:rPr>
      </w:pPr>
      <w:r w:rsidRPr="00696408">
        <w:rPr>
          <w:rFonts w:ascii="Arial" w:hAnsi="Arial" w:cs="Arial"/>
          <w:b/>
          <w:bCs/>
          <w:color w:val="0070C0"/>
          <w:sz w:val="28"/>
          <w:szCs w:val="28"/>
        </w:rPr>
        <w:t>Bristol, North Somerset South Gloucestershire</w:t>
      </w:r>
    </w:p>
    <w:p w14:paraId="33A39595" w14:textId="73961535" w:rsidR="00456057" w:rsidRDefault="00C37580" w:rsidP="00335D67">
      <w:pPr>
        <w:jc w:val="center"/>
        <w:rPr>
          <w:rFonts w:ascii="Arial" w:hAnsi="Arial" w:cs="Arial"/>
          <w:b/>
          <w:bCs/>
          <w:color w:val="0070C0"/>
          <w:sz w:val="28"/>
          <w:szCs w:val="28"/>
        </w:rPr>
      </w:pPr>
      <w:r>
        <w:rPr>
          <w:rFonts w:ascii="Arial" w:hAnsi="Arial" w:cs="Arial"/>
          <w:b/>
          <w:bCs/>
          <w:color w:val="0070C0"/>
          <w:sz w:val="28"/>
          <w:szCs w:val="28"/>
        </w:rPr>
        <w:t>Voluntary Sector Diabetes Improvement Grant</w:t>
      </w:r>
    </w:p>
    <w:p w14:paraId="4426BC52" w14:textId="77777777" w:rsidR="00456057" w:rsidRDefault="00456057" w:rsidP="00335D67">
      <w:pPr>
        <w:jc w:val="center"/>
        <w:rPr>
          <w:rFonts w:ascii="Arial" w:hAnsi="Arial" w:cs="Arial"/>
          <w:b/>
          <w:bCs/>
          <w:color w:val="0070C0"/>
          <w:sz w:val="28"/>
          <w:szCs w:val="28"/>
        </w:rPr>
      </w:pPr>
    </w:p>
    <w:p w14:paraId="2908A276" w14:textId="079AD98C" w:rsidR="00205039" w:rsidRDefault="00456057" w:rsidP="00335D67">
      <w:pPr>
        <w:jc w:val="center"/>
        <w:rPr>
          <w:rFonts w:ascii="Arial" w:hAnsi="Arial" w:cs="Arial"/>
          <w:b/>
          <w:bCs/>
          <w:color w:val="2E74B5" w:themeColor="accent5" w:themeShade="BF"/>
          <w:sz w:val="28"/>
          <w:szCs w:val="28"/>
        </w:rPr>
      </w:pPr>
      <w:r w:rsidRPr="00456057">
        <w:rPr>
          <w:rFonts w:ascii="Arial" w:hAnsi="Arial" w:cs="Arial"/>
          <w:b/>
          <w:bCs/>
          <w:color w:val="2E74B5" w:themeColor="accent5" w:themeShade="BF"/>
          <w:sz w:val="28"/>
          <w:szCs w:val="28"/>
        </w:rPr>
        <w:t xml:space="preserve">Criteria for BNSSG </w:t>
      </w:r>
      <w:r w:rsidR="00C37580">
        <w:rPr>
          <w:rFonts w:ascii="Arial" w:hAnsi="Arial" w:cs="Arial"/>
          <w:b/>
          <w:bCs/>
          <w:color w:val="2E74B5" w:themeColor="accent5" w:themeShade="BF"/>
          <w:sz w:val="28"/>
          <w:szCs w:val="28"/>
        </w:rPr>
        <w:t xml:space="preserve">Voluntary Sector Diabetes </w:t>
      </w:r>
      <w:r w:rsidR="00CF3DFA">
        <w:rPr>
          <w:rFonts w:ascii="Arial" w:hAnsi="Arial" w:cs="Arial"/>
          <w:b/>
          <w:bCs/>
          <w:color w:val="2E74B5" w:themeColor="accent5" w:themeShade="BF"/>
          <w:sz w:val="28"/>
          <w:szCs w:val="28"/>
        </w:rPr>
        <w:t>Funding</w:t>
      </w:r>
    </w:p>
    <w:p w14:paraId="66D4BFE2" w14:textId="77777777" w:rsidR="00456057" w:rsidRDefault="00456057" w:rsidP="00335D67">
      <w:pPr>
        <w:jc w:val="both"/>
        <w:rPr>
          <w:rFonts w:ascii="Arial" w:hAnsi="Arial" w:cs="Arial"/>
          <w:b/>
          <w:bCs/>
          <w:color w:val="2E74B5" w:themeColor="accent5" w:themeShade="BF"/>
          <w:sz w:val="28"/>
          <w:szCs w:val="28"/>
        </w:rPr>
      </w:pPr>
    </w:p>
    <w:p w14:paraId="58CE9344" w14:textId="209AE569" w:rsidR="00456057" w:rsidRPr="003A4E54" w:rsidRDefault="00A76E53" w:rsidP="00335D67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b/>
          <w:bCs/>
          <w:color w:val="2E74B5" w:themeColor="accent5" w:themeShade="BF"/>
          <w:sz w:val="24"/>
          <w:szCs w:val="24"/>
        </w:rPr>
      </w:pPr>
      <w:r w:rsidRPr="003A4E54">
        <w:rPr>
          <w:rFonts w:ascii="Arial" w:hAnsi="Arial" w:cs="Arial"/>
          <w:b/>
          <w:bCs/>
          <w:color w:val="2E74B5" w:themeColor="accent5" w:themeShade="BF"/>
          <w:sz w:val="24"/>
          <w:szCs w:val="24"/>
        </w:rPr>
        <w:t>Introduction to the fund</w:t>
      </w:r>
    </w:p>
    <w:p w14:paraId="02187852" w14:textId="77777777" w:rsidR="00456057" w:rsidRDefault="00456057" w:rsidP="00335D67">
      <w:pPr>
        <w:jc w:val="both"/>
        <w:rPr>
          <w:rFonts w:ascii="Arial" w:hAnsi="Arial" w:cs="Arial"/>
          <w:b/>
          <w:bCs/>
          <w:color w:val="2E74B5" w:themeColor="accent5" w:themeShade="BF"/>
          <w:sz w:val="28"/>
          <w:szCs w:val="28"/>
        </w:rPr>
      </w:pPr>
    </w:p>
    <w:p w14:paraId="0DFF0244" w14:textId="458487E7" w:rsidR="00C316DE" w:rsidRDefault="00C37580" w:rsidP="00335D67">
      <w:pPr>
        <w:spacing w:before="120" w:after="120"/>
        <w:jc w:val="both"/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</w:pP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As part of the </w:t>
      </w:r>
      <w:r w:rsidR="007C3489" w:rsidRPr="00EB275D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Bristol</w:t>
      </w:r>
      <w:r w:rsidR="007C3489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,</w:t>
      </w:r>
      <w:r w:rsidR="007C3489" w:rsidRPr="00EB275D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North </w:t>
      </w:r>
      <w:proofErr w:type="gramStart"/>
      <w:r w:rsidR="007C3489" w:rsidRPr="00EB275D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Somerset</w:t>
      </w:r>
      <w:proofErr w:type="gramEnd"/>
      <w:r w:rsidR="007C3489" w:rsidRPr="00EB275D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and South Gloucestershire </w:t>
      </w:r>
      <w:r w:rsidR="007C3489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(BNSSG) Integrated Care Board</w:t>
      </w: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</w:t>
      </w:r>
      <w:r w:rsidR="007C3489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(ICB)</w:t>
      </w: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there is a Diabetes Programme that focuses on the improvement of </w:t>
      </w:r>
      <w:r w:rsidR="00596618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d</w:t>
      </w: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iabetes prevention and treatment</w:t>
      </w:r>
      <w:r w:rsidR="00CF3DFA" w:rsidRPr="00EB275D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.</w:t>
      </w:r>
      <w:r w:rsidR="00456057" w:rsidRPr="00EB275D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</w:t>
      </w: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Funds within the Diabetes </w:t>
      </w:r>
      <w:r w:rsidR="00667D9C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P</w:t>
      </w: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rogramme have been approved for a voluntary sector </w:t>
      </w:r>
      <w:r w:rsidR="00BD3BF1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grant of £100,000 to support the aims of the programme from grassroots</w:t>
      </w:r>
      <w:r w:rsidR="00596618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and</w:t>
      </w:r>
      <w:r w:rsidR="00BD3BF1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community level. </w:t>
      </w:r>
      <w:r w:rsidR="00C316DE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This will be available as 7-10 individual grants of £</w:t>
      </w:r>
      <w:r w:rsidR="00AE181B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7</w:t>
      </w:r>
      <w:r w:rsidR="00C316DE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,000-20,000 each.</w:t>
      </w:r>
    </w:p>
    <w:p w14:paraId="19760ACC" w14:textId="77777777" w:rsidR="00C316DE" w:rsidRDefault="00C316DE" w:rsidP="00335D67">
      <w:pPr>
        <w:spacing w:before="120" w:after="120"/>
        <w:jc w:val="both"/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</w:pPr>
    </w:p>
    <w:p w14:paraId="0AAE75BA" w14:textId="0B06A85F" w:rsidR="0057200B" w:rsidRPr="00C37580" w:rsidRDefault="00456057" w:rsidP="00335D67">
      <w:pPr>
        <w:spacing w:before="120" w:after="120"/>
        <w:jc w:val="both"/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</w:pPr>
      <w:r w:rsidRPr="00EB275D">
        <w:rPr>
          <w:rFonts w:ascii="Arial" w:hAnsi="Arial" w:cs="Arial"/>
          <w:sz w:val="24"/>
          <w:szCs w:val="24"/>
        </w:rPr>
        <w:t>Our approach to managing this fund is to</w:t>
      </w:r>
      <w:r w:rsidR="00BD3BF1">
        <w:rPr>
          <w:rFonts w:ascii="Arial" w:hAnsi="Arial" w:cs="Arial"/>
          <w:sz w:val="24"/>
          <w:szCs w:val="24"/>
        </w:rPr>
        <w:t xml:space="preserve"> </w:t>
      </w:r>
      <w:r w:rsidRPr="00EB275D">
        <w:rPr>
          <w:rFonts w:ascii="Arial" w:hAnsi="Arial" w:cs="Arial"/>
          <w:sz w:val="24"/>
          <w:szCs w:val="24"/>
        </w:rPr>
        <w:t>support community applications that underpin local initiatives across BNSSG</w:t>
      </w:r>
      <w:r w:rsidR="0057200B">
        <w:rPr>
          <w:rFonts w:ascii="Arial" w:hAnsi="Arial" w:cs="Arial"/>
          <w:sz w:val="24"/>
          <w:szCs w:val="24"/>
        </w:rPr>
        <w:t xml:space="preserve"> which</w:t>
      </w:r>
      <w:r w:rsidR="00BD3BF1">
        <w:rPr>
          <w:rFonts w:ascii="Arial" w:hAnsi="Arial" w:cs="Arial"/>
          <w:sz w:val="24"/>
          <w:szCs w:val="24"/>
        </w:rPr>
        <w:t>:</w:t>
      </w:r>
    </w:p>
    <w:p w14:paraId="454219C6" w14:textId="09BD7D0B" w:rsidR="0057200B" w:rsidRDefault="00BD3BF1" w:rsidP="00335D67">
      <w:pPr>
        <w:pStyle w:val="ListParagraph"/>
        <w:numPr>
          <w:ilvl w:val="0"/>
          <w:numId w:val="9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Improve the prevention of </w:t>
      </w:r>
      <w:r w:rsidR="00667D9C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iabetes in the </w:t>
      </w:r>
      <w:r w:rsidR="00862674">
        <w:rPr>
          <w:rFonts w:ascii="Arial" w:hAnsi="Arial" w:cs="Arial"/>
          <w:sz w:val="24"/>
          <w:szCs w:val="24"/>
        </w:rPr>
        <w:t xml:space="preserve">local </w:t>
      </w:r>
      <w:r>
        <w:rPr>
          <w:rFonts w:ascii="Arial" w:hAnsi="Arial" w:cs="Arial"/>
          <w:sz w:val="24"/>
          <w:szCs w:val="24"/>
        </w:rPr>
        <w:t>population</w:t>
      </w:r>
    </w:p>
    <w:p w14:paraId="13712DFE" w14:textId="5F5A4049" w:rsidR="00A44D4B" w:rsidRPr="00A44D4B" w:rsidRDefault="00BD3BF1" w:rsidP="00A44D4B">
      <w:pPr>
        <w:pStyle w:val="ListParagraph"/>
        <w:numPr>
          <w:ilvl w:val="0"/>
          <w:numId w:val="9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Support the treatment of </w:t>
      </w:r>
      <w:r w:rsidR="00F87043">
        <w:rPr>
          <w:rFonts w:ascii="Arial" w:hAnsi="Arial" w:cs="Arial"/>
          <w:sz w:val="24"/>
          <w:szCs w:val="24"/>
        </w:rPr>
        <w:t xml:space="preserve">the </w:t>
      </w:r>
      <w:r w:rsidR="00862674">
        <w:rPr>
          <w:rFonts w:ascii="Arial" w:hAnsi="Arial" w:cs="Arial"/>
          <w:sz w:val="24"/>
          <w:szCs w:val="24"/>
        </w:rPr>
        <w:t xml:space="preserve">local </w:t>
      </w:r>
      <w:r w:rsidR="00F87043">
        <w:rPr>
          <w:rFonts w:ascii="Arial" w:hAnsi="Arial" w:cs="Arial"/>
          <w:sz w:val="24"/>
          <w:szCs w:val="24"/>
        </w:rPr>
        <w:t>population</w:t>
      </w:r>
      <w:r>
        <w:rPr>
          <w:rFonts w:ascii="Arial" w:hAnsi="Arial" w:cs="Arial"/>
          <w:sz w:val="24"/>
          <w:szCs w:val="24"/>
        </w:rPr>
        <w:t xml:space="preserve"> </w:t>
      </w:r>
      <w:r w:rsidR="00596618">
        <w:rPr>
          <w:rFonts w:ascii="Arial" w:hAnsi="Arial" w:cs="Arial"/>
          <w:sz w:val="24"/>
          <w:szCs w:val="24"/>
        </w:rPr>
        <w:t xml:space="preserve">who </w:t>
      </w:r>
      <w:r>
        <w:rPr>
          <w:rFonts w:ascii="Arial" w:hAnsi="Arial" w:cs="Arial"/>
          <w:sz w:val="24"/>
          <w:szCs w:val="24"/>
        </w:rPr>
        <w:t xml:space="preserve">already have </w:t>
      </w:r>
      <w:r w:rsidR="00667D9C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iabetes</w:t>
      </w:r>
    </w:p>
    <w:p w14:paraId="5AA4EDEB" w14:textId="1D4A048C" w:rsidR="00456057" w:rsidRPr="00FC3E48" w:rsidRDefault="00CF3DFA" w:rsidP="00335D67">
      <w:pPr>
        <w:pStyle w:val="ListParagraph"/>
        <w:numPr>
          <w:ilvl w:val="0"/>
          <w:numId w:val="12"/>
        </w:numPr>
        <w:spacing w:after="120"/>
        <w:jc w:val="both"/>
        <w:rPr>
          <w:rFonts w:ascii="Arial" w:hAnsi="Arial" w:cs="Arial"/>
          <w:b/>
          <w:bCs/>
          <w:color w:val="2E74B5" w:themeColor="accent5" w:themeShade="BF"/>
          <w:sz w:val="24"/>
          <w:szCs w:val="24"/>
        </w:rPr>
      </w:pPr>
      <w:r w:rsidRPr="00FC3E48">
        <w:rPr>
          <w:rFonts w:ascii="Arial" w:hAnsi="Arial" w:cs="Arial"/>
          <w:b/>
          <w:bCs/>
          <w:color w:val="2E74B5" w:themeColor="accent5" w:themeShade="BF"/>
          <w:sz w:val="24"/>
          <w:szCs w:val="24"/>
        </w:rPr>
        <w:t>Intended impact of this work</w:t>
      </w:r>
      <w:r w:rsidR="00456057" w:rsidRPr="00FC3E48">
        <w:rPr>
          <w:rFonts w:ascii="Arial" w:hAnsi="Arial" w:cs="Arial"/>
          <w:b/>
          <w:bCs/>
          <w:color w:val="2E74B5" w:themeColor="accent5" w:themeShade="BF"/>
          <w:sz w:val="24"/>
          <w:szCs w:val="24"/>
        </w:rPr>
        <w:t xml:space="preserve"> </w:t>
      </w:r>
    </w:p>
    <w:p w14:paraId="00EAB465" w14:textId="77777777" w:rsidR="00862674" w:rsidRDefault="00CF3DFA" w:rsidP="00335D67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CF3DFA">
        <w:rPr>
          <w:rFonts w:ascii="Arial" w:hAnsi="Arial" w:cs="Arial"/>
          <w:sz w:val="24"/>
          <w:szCs w:val="24"/>
        </w:rPr>
        <w:t>The focus of these community grants is to</w:t>
      </w:r>
      <w:r w:rsidR="00862674">
        <w:rPr>
          <w:rFonts w:ascii="Arial" w:hAnsi="Arial" w:cs="Arial"/>
          <w:sz w:val="24"/>
          <w:szCs w:val="24"/>
        </w:rPr>
        <w:t>:</w:t>
      </w:r>
    </w:p>
    <w:p w14:paraId="31F9A03C" w14:textId="145207EE" w:rsidR="00862674" w:rsidRDefault="00862674" w:rsidP="00335D67">
      <w:pPr>
        <w:pStyle w:val="ListParagraph"/>
        <w:numPr>
          <w:ilvl w:val="0"/>
          <w:numId w:val="15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Pr="00862674">
        <w:rPr>
          <w:rFonts w:ascii="Arial" w:hAnsi="Arial" w:cs="Arial"/>
          <w:sz w:val="24"/>
          <w:szCs w:val="24"/>
        </w:rPr>
        <w:t xml:space="preserve">acilitate in the recovery of diabetes </w:t>
      </w:r>
      <w:r w:rsidR="00953E99">
        <w:rPr>
          <w:rFonts w:ascii="Arial" w:hAnsi="Arial" w:cs="Arial"/>
          <w:sz w:val="24"/>
          <w:szCs w:val="24"/>
        </w:rPr>
        <w:t xml:space="preserve">monitoring and </w:t>
      </w:r>
      <w:r w:rsidRPr="00862674">
        <w:rPr>
          <w:rFonts w:ascii="Arial" w:hAnsi="Arial" w:cs="Arial"/>
          <w:sz w:val="24"/>
          <w:szCs w:val="24"/>
        </w:rPr>
        <w:t>treatment</w:t>
      </w:r>
      <w:r w:rsidR="00DF45C7">
        <w:rPr>
          <w:rFonts w:ascii="Arial" w:hAnsi="Arial" w:cs="Arial"/>
          <w:sz w:val="24"/>
          <w:szCs w:val="24"/>
        </w:rPr>
        <w:t xml:space="preserve"> (</w:t>
      </w:r>
      <w:r w:rsidR="00953E99">
        <w:rPr>
          <w:rFonts w:ascii="Arial" w:hAnsi="Arial" w:cs="Arial"/>
          <w:sz w:val="24"/>
          <w:szCs w:val="24"/>
        </w:rPr>
        <w:t>further detail in point 3 – Diabetes background information</w:t>
      </w:r>
      <w:r w:rsidR="00DF45C7">
        <w:rPr>
          <w:rFonts w:ascii="Arial" w:hAnsi="Arial" w:cs="Arial"/>
          <w:sz w:val="24"/>
          <w:szCs w:val="24"/>
        </w:rPr>
        <w:t>)</w:t>
      </w:r>
      <w:r w:rsidRPr="00862674">
        <w:rPr>
          <w:rFonts w:ascii="Arial" w:hAnsi="Arial" w:cs="Arial"/>
          <w:sz w:val="24"/>
          <w:szCs w:val="24"/>
        </w:rPr>
        <w:t xml:space="preserve"> to pre-covid levels, because treatment of </w:t>
      </w:r>
      <w:proofErr w:type="gramStart"/>
      <w:r w:rsidRPr="00862674">
        <w:rPr>
          <w:rFonts w:ascii="Arial" w:hAnsi="Arial" w:cs="Arial"/>
          <w:sz w:val="24"/>
          <w:szCs w:val="24"/>
        </w:rPr>
        <w:t>long term</w:t>
      </w:r>
      <w:proofErr w:type="gramEnd"/>
      <w:r w:rsidRPr="00862674">
        <w:rPr>
          <w:rFonts w:ascii="Arial" w:hAnsi="Arial" w:cs="Arial"/>
          <w:sz w:val="24"/>
          <w:szCs w:val="24"/>
        </w:rPr>
        <w:t xml:space="preserve"> conditions has taken a hit </w:t>
      </w:r>
      <w:r>
        <w:rPr>
          <w:rFonts w:ascii="Arial" w:hAnsi="Arial" w:cs="Arial"/>
          <w:sz w:val="24"/>
          <w:szCs w:val="24"/>
        </w:rPr>
        <w:t xml:space="preserve">during the pandemic </w:t>
      </w:r>
      <w:r w:rsidRPr="00862674">
        <w:rPr>
          <w:rFonts w:ascii="Arial" w:hAnsi="Arial" w:cs="Arial"/>
          <w:sz w:val="24"/>
          <w:szCs w:val="24"/>
        </w:rPr>
        <w:t>due to other priorities</w:t>
      </w:r>
    </w:p>
    <w:p w14:paraId="32D2AECB" w14:textId="44ED55E3" w:rsidR="0063334D" w:rsidRPr="002F5470" w:rsidRDefault="00862674" w:rsidP="00335D67">
      <w:pPr>
        <w:pStyle w:val="ListParagraph"/>
        <w:numPr>
          <w:ilvl w:val="0"/>
          <w:numId w:val="15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Build on the existing foundation of </w:t>
      </w:r>
      <w:r w:rsidR="00667D9C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iabetes prevention in BNSSG to establish a more robust system of support and interventions for those at risk in the community</w:t>
      </w:r>
    </w:p>
    <w:p w14:paraId="347D9D4E" w14:textId="17946425" w:rsidR="00456057" w:rsidRPr="00417721" w:rsidRDefault="00ED3C68" w:rsidP="00335D67">
      <w:pPr>
        <w:spacing w:before="120" w:after="1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D3C68">
        <w:rPr>
          <w:rFonts w:ascii="Arial" w:hAnsi="Arial" w:cs="Arial"/>
          <w:sz w:val="24"/>
          <w:szCs w:val="24"/>
          <w:shd w:val="clear" w:color="auto" w:fill="FFFFFF"/>
        </w:rPr>
        <w:t xml:space="preserve">It is recognised that our community organisations are a trusted voice for many </w:t>
      </w:r>
      <w:r w:rsidR="00CF3DFA" w:rsidRPr="00ED3C68">
        <w:rPr>
          <w:rFonts w:ascii="Arial" w:hAnsi="Arial" w:cs="Arial"/>
          <w:sz w:val="24"/>
          <w:szCs w:val="24"/>
          <w:shd w:val="clear" w:color="auto" w:fill="FFFFFF"/>
        </w:rPr>
        <w:t>people and</w:t>
      </w:r>
      <w:r w:rsidRPr="00ED3C68">
        <w:rPr>
          <w:rFonts w:ascii="Arial" w:hAnsi="Arial" w:cs="Arial"/>
          <w:sz w:val="24"/>
          <w:szCs w:val="24"/>
          <w:shd w:val="clear" w:color="auto" w:fill="FFFFFF"/>
        </w:rPr>
        <w:t xml:space="preserve"> can play an important role in providing information and support to those who may face </w:t>
      </w:r>
      <w:r w:rsidR="00862674">
        <w:rPr>
          <w:rFonts w:ascii="Arial" w:hAnsi="Arial" w:cs="Arial"/>
          <w:sz w:val="24"/>
          <w:szCs w:val="24"/>
          <w:shd w:val="clear" w:color="auto" w:fill="FFFFFF"/>
        </w:rPr>
        <w:t xml:space="preserve">challenges and </w:t>
      </w:r>
      <w:r w:rsidRPr="00ED3C68">
        <w:rPr>
          <w:rFonts w:ascii="Arial" w:hAnsi="Arial" w:cs="Arial"/>
          <w:sz w:val="24"/>
          <w:szCs w:val="24"/>
          <w:shd w:val="clear" w:color="auto" w:fill="FFFFFF"/>
        </w:rPr>
        <w:t xml:space="preserve">practical barriers to </w:t>
      </w:r>
      <w:r w:rsidR="00862674">
        <w:rPr>
          <w:rFonts w:ascii="Arial" w:hAnsi="Arial" w:cs="Arial"/>
          <w:sz w:val="24"/>
          <w:szCs w:val="24"/>
          <w:shd w:val="clear" w:color="auto" w:fill="FFFFFF"/>
        </w:rPr>
        <w:t xml:space="preserve">receiving their </w:t>
      </w:r>
      <w:r w:rsidR="00667D9C">
        <w:rPr>
          <w:rFonts w:ascii="Arial" w:hAnsi="Arial" w:cs="Arial"/>
          <w:sz w:val="24"/>
          <w:szCs w:val="24"/>
          <w:shd w:val="clear" w:color="auto" w:fill="FFFFFF"/>
        </w:rPr>
        <w:t>d</w:t>
      </w:r>
      <w:r w:rsidR="00862674">
        <w:rPr>
          <w:rFonts w:ascii="Arial" w:hAnsi="Arial" w:cs="Arial"/>
          <w:sz w:val="24"/>
          <w:szCs w:val="24"/>
          <w:shd w:val="clear" w:color="auto" w:fill="FFFFFF"/>
        </w:rPr>
        <w:t xml:space="preserve">iabetes treatment or </w:t>
      </w:r>
      <w:r w:rsidR="00A42D81">
        <w:rPr>
          <w:rFonts w:ascii="Arial" w:hAnsi="Arial" w:cs="Arial"/>
          <w:sz w:val="24"/>
          <w:szCs w:val="24"/>
          <w:shd w:val="clear" w:color="auto" w:fill="FFFFFF"/>
        </w:rPr>
        <w:t>engaging with prevention initiatives</w:t>
      </w:r>
      <w:r w:rsidRPr="00ED3C68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2B0F5F1F" w14:textId="7C331FEA" w:rsidR="00456057" w:rsidRDefault="00456057" w:rsidP="00335D67">
      <w:pPr>
        <w:spacing w:before="120" w:after="120"/>
        <w:jc w:val="both"/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</w:pPr>
      <w:r w:rsidRPr="00D4498B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lastRenderedPageBreak/>
        <w:t>This opportunity is to support communities to design and implement their own solutions to improving</w:t>
      </w: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</w:t>
      </w:r>
      <w:r w:rsidR="00667D9C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d</w:t>
      </w:r>
      <w:r w:rsidR="00A42D81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iabetes </w:t>
      </w:r>
      <w:r w:rsidR="0017305E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care </w:t>
      </w:r>
      <w:r w:rsidR="00A42D81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rates</w:t>
      </w:r>
      <w:r w:rsidR="0017305E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and prevalence rates</w:t>
      </w: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.</w:t>
      </w:r>
    </w:p>
    <w:p w14:paraId="36525643" w14:textId="77777777" w:rsidR="002F5470" w:rsidRDefault="002F5470" w:rsidP="00335D67">
      <w:pPr>
        <w:spacing w:before="120" w:after="120"/>
        <w:jc w:val="both"/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</w:pPr>
    </w:p>
    <w:p w14:paraId="4F915E56" w14:textId="08D743A3" w:rsidR="002F5470" w:rsidRPr="00FC3E48" w:rsidRDefault="00D7403D" w:rsidP="00335D67">
      <w:pPr>
        <w:pStyle w:val="ListParagraph"/>
        <w:numPr>
          <w:ilvl w:val="0"/>
          <w:numId w:val="12"/>
        </w:numPr>
        <w:spacing w:after="120"/>
        <w:jc w:val="both"/>
        <w:rPr>
          <w:rFonts w:ascii="Arial" w:hAnsi="Arial" w:cs="Arial"/>
          <w:b/>
          <w:bCs/>
          <w:color w:val="2E74B5" w:themeColor="accent5" w:themeShade="BF"/>
          <w:sz w:val="24"/>
          <w:szCs w:val="24"/>
        </w:rPr>
      </w:pPr>
      <w:r>
        <w:rPr>
          <w:rFonts w:ascii="Arial" w:hAnsi="Arial" w:cs="Arial"/>
          <w:b/>
          <w:bCs/>
          <w:color w:val="2E74B5" w:themeColor="accent5" w:themeShade="BF"/>
          <w:sz w:val="24"/>
          <w:szCs w:val="24"/>
        </w:rPr>
        <w:t>Diabetes background information</w:t>
      </w:r>
    </w:p>
    <w:p w14:paraId="6F9585E8" w14:textId="24C1FA36" w:rsidR="0009618C" w:rsidRDefault="00D7403D" w:rsidP="00335D67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prevention of </w:t>
      </w:r>
      <w:r w:rsidR="00AA12DE">
        <w:rPr>
          <w:rFonts w:ascii="Arial" w:hAnsi="Arial" w:cs="Arial"/>
          <w:sz w:val="24"/>
          <w:szCs w:val="24"/>
        </w:rPr>
        <w:t xml:space="preserve">type 2 </w:t>
      </w:r>
      <w:r>
        <w:rPr>
          <w:rFonts w:ascii="Arial" w:hAnsi="Arial" w:cs="Arial"/>
          <w:sz w:val="24"/>
          <w:szCs w:val="24"/>
        </w:rPr>
        <w:t xml:space="preserve">diabetes </w:t>
      </w:r>
      <w:r w:rsidR="0009618C">
        <w:rPr>
          <w:rFonts w:ascii="Arial" w:hAnsi="Arial" w:cs="Arial"/>
          <w:sz w:val="24"/>
          <w:szCs w:val="24"/>
        </w:rPr>
        <w:t xml:space="preserve">is currently being tackled nationally through </w:t>
      </w:r>
      <w:r w:rsidR="00140882">
        <w:rPr>
          <w:rFonts w:ascii="Arial" w:hAnsi="Arial" w:cs="Arial"/>
          <w:sz w:val="24"/>
          <w:szCs w:val="24"/>
        </w:rPr>
        <w:t xml:space="preserve">the </w:t>
      </w:r>
      <w:hyperlink r:id="rId11" w:history="1">
        <w:r w:rsidR="001A7FED">
          <w:rPr>
            <w:rStyle w:val="Hyperlink"/>
            <w:rFonts w:ascii="Arial" w:hAnsi="Arial" w:cs="Arial"/>
            <w:sz w:val="24"/>
            <w:szCs w:val="24"/>
          </w:rPr>
          <w:t>NHS</w:t>
        </w:r>
        <w:r w:rsidR="0009618C" w:rsidRPr="00674E44">
          <w:rPr>
            <w:rStyle w:val="Hyperlink"/>
            <w:rFonts w:ascii="Arial" w:hAnsi="Arial" w:cs="Arial"/>
            <w:sz w:val="24"/>
            <w:szCs w:val="24"/>
          </w:rPr>
          <w:t xml:space="preserve"> Diabetes Prevention </w:t>
        </w:r>
        <w:r w:rsidR="00F24FAF" w:rsidRPr="00674E44">
          <w:rPr>
            <w:rStyle w:val="Hyperlink"/>
            <w:rFonts w:ascii="Arial" w:hAnsi="Arial" w:cs="Arial"/>
            <w:sz w:val="24"/>
            <w:szCs w:val="24"/>
          </w:rPr>
          <w:t xml:space="preserve">Programme </w:t>
        </w:r>
        <w:r w:rsidR="00140882" w:rsidRPr="00674E44">
          <w:rPr>
            <w:rStyle w:val="Hyperlink"/>
            <w:rFonts w:ascii="Arial" w:hAnsi="Arial" w:cs="Arial"/>
            <w:sz w:val="24"/>
            <w:szCs w:val="24"/>
          </w:rPr>
          <w:t>(NDPP).</w:t>
        </w:r>
      </w:hyperlink>
      <w:r w:rsidR="00140882">
        <w:rPr>
          <w:rFonts w:ascii="Arial" w:hAnsi="Arial" w:cs="Arial"/>
          <w:sz w:val="24"/>
          <w:szCs w:val="24"/>
        </w:rPr>
        <w:t xml:space="preserve"> This </w:t>
      </w:r>
      <w:r w:rsidR="00F24FAF">
        <w:rPr>
          <w:rFonts w:ascii="Arial" w:hAnsi="Arial" w:cs="Arial"/>
          <w:sz w:val="24"/>
          <w:szCs w:val="24"/>
        </w:rPr>
        <w:t xml:space="preserve">is a programme previously run by WW (Weight Watchers) and </w:t>
      </w:r>
      <w:r w:rsidR="00AA12DE">
        <w:rPr>
          <w:rFonts w:ascii="Arial" w:hAnsi="Arial" w:cs="Arial"/>
          <w:sz w:val="24"/>
          <w:szCs w:val="24"/>
        </w:rPr>
        <w:t xml:space="preserve">currently </w:t>
      </w:r>
      <w:r w:rsidR="00F24FAF">
        <w:rPr>
          <w:rFonts w:ascii="Arial" w:hAnsi="Arial" w:cs="Arial"/>
          <w:sz w:val="24"/>
          <w:szCs w:val="24"/>
        </w:rPr>
        <w:t>run by Living Well Taking Control (LWTC)</w:t>
      </w:r>
      <w:r w:rsidR="00AA12DE">
        <w:rPr>
          <w:rFonts w:ascii="Arial" w:hAnsi="Arial" w:cs="Arial"/>
          <w:sz w:val="24"/>
          <w:szCs w:val="24"/>
        </w:rPr>
        <w:t xml:space="preserve">. It focuses on healthy lifestyle changes including diet and </w:t>
      </w:r>
      <w:r w:rsidR="00F2402A">
        <w:rPr>
          <w:rFonts w:ascii="Arial" w:hAnsi="Arial" w:cs="Arial"/>
          <w:sz w:val="24"/>
          <w:szCs w:val="24"/>
        </w:rPr>
        <w:t>exercise as key pillars for preventing type 2 diabetes in people at risk (high blood sugar or overweight).</w:t>
      </w:r>
    </w:p>
    <w:p w14:paraId="4B19A1C8" w14:textId="6F2E1D20" w:rsidR="002F5470" w:rsidRDefault="00D7403D" w:rsidP="00335D67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treatment of diabetes is monitored through</w:t>
      </w:r>
      <w:r w:rsidR="000406BE">
        <w:rPr>
          <w:rFonts w:ascii="Arial" w:hAnsi="Arial" w:cs="Arial"/>
          <w:sz w:val="24"/>
          <w:szCs w:val="24"/>
        </w:rPr>
        <w:t xml:space="preserve"> the nine care processes</w:t>
      </w:r>
      <w:r w:rsidR="0003720F">
        <w:rPr>
          <w:rFonts w:ascii="Arial" w:hAnsi="Arial" w:cs="Arial"/>
          <w:sz w:val="24"/>
          <w:szCs w:val="24"/>
        </w:rPr>
        <w:t xml:space="preserve">. These are widely established </w:t>
      </w:r>
      <w:r w:rsidR="00C3699C">
        <w:rPr>
          <w:rFonts w:ascii="Arial" w:hAnsi="Arial" w:cs="Arial"/>
          <w:sz w:val="24"/>
          <w:szCs w:val="24"/>
        </w:rPr>
        <w:t>key care measurements that patients with diabetes should expect to receive on an annual basis. They include:</w:t>
      </w:r>
    </w:p>
    <w:p w14:paraId="05D00D88" w14:textId="29804F58" w:rsidR="00C3699C" w:rsidRPr="00C3699C" w:rsidRDefault="00C3699C" w:rsidP="00335D67">
      <w:pPr>
        <w:pStyle w:val="ListParagraph"/>
        <w:numPr>
          <w:ilvl w:val="0"/>
          <w:numId w:val="18"/>
        </w:numPr>
        <w:spacing w:before="120" w:after="120"/>
        <w:jc w:val="both"/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</w:pPr>
      <w:r w:rsidRPr="00C3699C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HbA1c</w:t>
      </w:r>
      <w:r w:rsidR="008C3BEB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(blood sugar)</w:t>
      </w:r>
    </w:p>
    <w:p w14:paraId="78D69ACD" w14:textId="77777777" w:rsidR="00C3699C" w:rsidRPr="00C3699C" w:rsidRDefault="00C3699C" w:rsidP="00335D67">
      <w:pPr>
        <w:pStyle w:val="ListParagraph"/>
        <w:numPr>
          <w:ilvl w:val="0"/>
          <w:numId w:val="18"/>
        </w:numPr>
        <w:spacing w:before="120" w:after="120"/>
        <w:jc w:val="both"/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</w:pPr>
      <w:r w:rsidRPr="00C3699C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Blood Pressure</w:t>
      </w:r>
    </w:p>
    <w:p w14:paraId="02E6B1B1" w14:textId="5B3605DC" w:rsidR="00C3699C" w:rsidRDefault="00C3699C" w:rsidP="00335D67">
      <w:pPr>
        <w:pStyle w:val="ListParagraph"/>
        <w:numPr>
          <w:ilvl w:val="0"/>
          <w:numId w:val="18"/>
        </w:numPr>
        <w:spacing w:before="120" w:after="120"/>
        <w:jc w:val="both"/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</w:pPr>
      <w:r w:rsidRPr="00C3699C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Cholesterol</w:t>
      </w:r>
    </w:p>
    <w:p w14:paraId="2F79A707" w14:textId="72FFA4D2" w:rsidR="00C3699C" w:rsidRPr="00C3699C" w:rsidRDefault="00E01AFC" w:rsidP="00335D67">
      <w:pPr>
        <w:pStyle w:val="ListParagraph"/>
        <w:numPr>
          <w:ilvl w:val="0"/>
          <w:numId w:val="18"/>
        </w:numPr>
        <w:spacing w:before="120" w:after="120"/>
        <w:jc w:val="both"/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</w:pP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Weight &amp; </w:t>
      </w:r>
      <w:r w:rsidR="00C3699C" w:rsidRPr="00C3699C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BMI</w:t>
      </w:r>
    </w:p>
    <w:p w14:paraId="299B7966" w14:textId="1C368BA7" w:rsidR="00C3699C" w:rsidRPr="00C3699C" w:rsidRDefault="00C3699C" w:rsidP="00335D67">
      <w:pPr>
        <w:pStyle w:val="ListParagraph"/>
        <w:numPr>
          <w:ilvl w:val="0"/>
          <w:numId w:val="18"/>
        </w:numPr>
        <w:spacing w:before="120" w:after="120"/>
        <w:jc w:val="both"/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</w:pP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Eye (</w:t>
      </w:r>
      <w:r w:rsidRPr="00C3699C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Retinopathy</w:t>
      </w: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)</w:t>
      </w:r>
      <w:r w:rsidRPr="00C3699C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Screening</w:t>
      </w:r>
    </w:p>
    <w:p w14:paraId="4C8D0DEE" w14:textId="77777777" w:rsidR="00C3699C" w:rsidRPr="00C3699C" w:rsidRDefault="00C3699C" w:rsidP="00335D67">
      <w:pPr>
        <w:pStyle w:val="ListParagraph"/>
        <w:numPr>
          <w:ilvl w:val="0"/>
          <w:numId w:val="18"/>
        </w:numPr>
        <w:spacing w:before="120" w:after="120"/>
        <w:jc w:val="both"/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</w:pPr>
      <w:r w:rsidRPr="00C3699C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Foot Risk stratification</w:t>
      </w:r>
    </w:p>
    <w:p w14:paraId="5A5C2F10" w14:textId="0ABE451A" w:rsidR="00C3699C" w:rsidRPr="00C3699C" w:rsidRDefault="00C3699C" w:rsidP="00335D67">
      <w:pPr>
        <w:pStyle w:val="ListParagraph"/>
        <w:numPr>
          <w:ilvl w:val="0"/>
          <w:numId w:val="18"/>
        </w:numPr>
        <w:spacing w:before="120" w:after="120"/>
        <w:jc w:val="both"/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</w:pPr>
      <w:r w:rsidRPr="00C3699C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Urinary Albumin test</w:t>
      </w:r>
      <w:r w:rsidR="0097209A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(</w:t>
      </w:r>
      <w:r w:rsidR="00E01AFC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for kidney damage)</w:t>
      </w:r>
    </w:p>
    <w:p w14:paraId="1D865D38" w14:textId="5B007C58" w:rsidR="00C3699C" w:rsidRPr="00C3699C" w:rsidRDefault="00C3699C" w:rsidP="00335D67">
      <w:pPr>
        <w:pStyle w:val="ListParagraph"/>
        <w:numPr>
          <w:ilvl w:val="0"/>
          <w:numId w:val="18"/>
        </w:numPr>
        <w:spacing w:before="120" w:after="120"/>
        <w:jc w:val="both"/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</w:pPr>
      <w:r w:rsidRPr="00C3699C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Serum Creatinine</w:t>
      </w:r>
      <w:r w:rsidR="0097209A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(</w:t>
      </w:r>
      <w:r w:rsidR="00E01AFC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for </w:t>
      </w:r>
      <w:r w:rsidR="0097209A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kidney efficiency)</w:t>
      </w:r>
    </w:p>
    <w:p w14:paraId="46B2F01B" w14:textId="77777777" w:rsidR="00C3699C" w:rsidRPr="00C3699C" w:rsidRDefault="00C3699C" w:rsidP="00335D67">
      <w:pPr>
        <w:pStyle w:val="ListParagraph"/>
        <w:numPr>
          <w:ilvl w:val="0"/>
          <w:numId w:val="18"/>
        </w:numPr>
        <w:spacing w:before="120" w:after="120"/>
        <w:jc w:val="both"/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</w:pPr>
      <w:r w:rsidRPr="00C3699C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Smoking Status</w:t>
      </w:r>
    </w:p>
    <w:p w14:paraId="1EA13DB1" w14:textId="40F978E2" w:rsidR="00092516" w:rsidRDefault="00CF1EDA" w:rsidP="00335D67">
      <w:pPr>
        <w:spacing w:before="120" w:after="120"/>
        <w:jc w:val="both"/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</w:pP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Three of these measurements have been established as key treatment targets</w:t>
      </w:r>
      <w:r w:rsidR="00A5263E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by </w:t>
      </w:r>
      <w:hyperlink r:id="rId12" w:history="1">
        <w:r w:rsidR="00A5263E" w:rsidRPr="000815D4">
          <w:rPr>
            <w:rStyle w:val="Hyperlink"/>
            <w:rFonts w:ascii="Arial" w:eastAsiaTheme="minorEastAsia" w:hAnsi="Arial" w:cs="Arial"/>
            <w:kern w:val="24"/>
            <w:sz w:val="24"/>
            <w:szCs w:val="24"/>
          </w:rPr>
          <w:t xml:space="preserve">NICE (National Institute </w:t>
        </w:r>
        <w:r w:rsidR="000815D4" w:rsidRPr="000815D4">
          <w:rPr>
            <w:rStyle w:val="Hyperlink"/>
            <w:rFonts w:ascii="Arial" w:eastAsiaTheme="minorEastAsia" w:hAnsi="Arial" w:cs="Arial"/>
            <w:kern w:val="24"/>
            <w:sz w:val="24"/>
            <w:szCs w:val="24"/>
          </w:rPr>
          <w:t>for Health &amp;</w:t>
        </w:r>
        <w:r w:rsidR="00A5263E" w:rsidRPr="000815D4">
          <w:rPr>
            <w:rStyle w:val="Hyperlink"/>
            <w:rFonts w:ascii="Arial" w:eastAsiaTheme="minorEastAsia" w:hAnsi="Arial" w:cs="Arial"/>
            <w:kern w:val="24"/>
            <w:sz w:val="24"/>
            <w:szCs w:val="24"/>
          </w:rPr>
          <w:t xml:space="preserve"> Care Excellence)</w:t>
        </w:r>
      </w:hyperlink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, and </w:t>
      </w:r>
      <w:r w:rsidR="0061688D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diabetes patients need to</w:t>
      </w:r>
      <w:r w:rsidR="000815D4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maintain </w:t>
      </w:r>
      <w:r w:rsidR="0061688D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these </w:t>
      </w:r>
      <w:r w:rsidR="000815D4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within a certain range </w:t>
      </w:r>
      <w:r w:rsidR="008C28FD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in order to live with or treat diabetes effectively. These include:</w:t>
      </w:r>
    </w:p>
    <w:p w14:paraId="1686C23E" w14:textId="164C639B" w:rsidR="008C28FD" w:rsidRPr="00C3699C" w:rsidRDefault="008C28FD" w:rsidP="00335D67">
      <w:pPr>
        <w:pStyle w:val="ListParagraph"/>
        <w:numPr>
          <w:ilvl w:val="0"/>
          <w:numId w:val="19"/>
        </w:numPr>
        <w:spacing w:before="120" w:after="120"/>
        <w:jc w:val="both"/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</w:pPr>
      <w:r w:rsidRPr="00C3699C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HbA1c</w:t>
      </w:r>
      <w:r w:rsidR="008C3BEB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(blood sugar)</w:t>
      </w:r>
    </w:p>
    <w:p w14:paraId="4AD68F87" w14:textId="77777777" w:rsidR="008C28FD" w:rsidRPr="00C3699C" w:rsidRDefault="008C28FD" w:rsidP="00335D67">
      <w:pPr>
        <w:pStyle w:val="ListParagraph"/>
        <w:numPr>
          <w:ilvl w:val="0"/>
          <w:numId w:val="19"/>
        </w:numPr>
        <w:spacing w:before="120" w:after="120"/>
        <w:jc w:val="both"/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</w:pPr>
      <w:r w:rsidRPr="00C3699C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Blood Pressure</w:t>
      </w:r>
    </w:p>
    <w:p w14:paraId="244D0111" w14:textId="77777777" w:rsidR="008C28FD" w:rsidRDefault="008C28FD" w:rsidP="00335D67">
      <w:pPr>
        <w:pStyle w:val="ListParagraph"/>
        <w:numPr>
          <w:ilvl w:val="0"/>
          <w:numId w:val="19"/>
        </w:numPr>
        <w:spacing w:before="120" w:after="120"/>
        <w:jc w:val="both"/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</w:pPr>
      <w:r w:rsidRPr="00C3699C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Cholesterol</w:t>
      </w:r>
    </w:p>
    <w:p w14:paraId="0E1E18F2" w14:textId="5C2D1FB5" w:rsidR="008C28FD" w:rsidRDefault="0028556A" w:rsidP="00335D67">
      <w:pPr>
        <w:spacing w:before="120" w:after="120"/>
        <w:jc w:val="both"/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</w:pP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Any project would be welcome, </w:t>
      </w:r>
      <w:r w:rsidR="001A2A44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including </w:t>
      </w:r>
      <w:r w:rsidR="00F668A8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unique and</w:t>
      </w:r>
      <w:r w:rsidR="007303E2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creative ones, which address one or both of the following:</w:t>
      </w:r>
    </w:p>
    <w:p w14:paraId="286EC45C" w14:textId="472E33C5" w:rsidR="007303E2" w:rsidRDefault="007303E2" w:rsidP="00335D67">
      <w:pPr>
        <w:pStyle w:val="ListParagraph"/>
        <w:numPr>
          <w:ilvl w:val="0"/>
          <w:numId w:val="21"/>
        </w:numPr>
        <w:spacing w:before="120" w:after="120"/>
        <w:jc w:val="both"/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</w:pP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Prevention of diabetes (as </w:t>
      </w:r>
      <w:r w:rsidR="00F668A8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determined by the national programme NDPP)</w:t>
      </w:r>
    </w:p>
    <w:p w14:paraId="4D4EDA86" w14:textId="4EFF1432" w:rsidR="00F668A8" w:rsidRDefault="00F668A8" w:rsidP="00335D67">
      <w:pPr>
        <w:pStyle w:val="ListParagraph"/>
        <w:numPr>
          <w:ilvl w:val="0"/>
          <w:numId w:val="21"/>
        </w:numPr>
        <w:spacing w:before="120" w:after="120"/>
        <w:jc w:val="both"/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</w:pP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lastRenderedPageBreak/>
        <w:t xml:space="preserve">Treatment of diabetes (as measured by the </w:t>
      </w:r>
      <w:r w:rsidR="00282AD5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9 care processes and 3 key treatment targets)</w:t>
      </w:r>
    </w:p>
    <w:p w14:paraId="016B005E" w14:textId="38534894" w:rsidR="00EB275D" w:rsidRDefault="00282AD5" w:rsidP="00A44D4B">
      <w:pPr>
        <w:spacing w:before="120" w:after="120"/>
        <w:jc w:val="both"/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</w:pP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These include projects </w:t>
      </w:r>
      <w:r w:rsidR="005649CF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such as ones that </w:t>
      </w: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lower cholesterol or blood pressure in any way (</w:t>
      </w:r>
      <w:proofErr w:type="gramStart"/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e.g.</w:t>
      </w:r>
      <w:proofErr w:type="gramEnd"/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nature connection </w:t>
      </w:r>
      <w:r w:rsidR="00E01AFC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&amp;</w:t>
      </w: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activity)</w:t>
      </w:r>
      <w:r w:rsidR="006476C1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, improve people’s diets </w:t>
      </w:r>
      <w:r w:rsidR="005649CF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towards less sugar</w:t>
      </w:r>
      <w:r w:rsidR="008C3BEB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-intensive foods (hence lowering their blood sugar levels), </w:t>
      </w:r>
      <w:r w:rsidR="00BB15CB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decrease smoking</w:t>
      </w:r>
      <w:r w:rsidR="00AD0DA2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(</w:t>
      </w:r>
      <w:r w:rsidR="0061688D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e.g. </w:t>
      </w:r>
      <w:r w:rsidR="00AD0DA2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education &amp; awareness campaigns), and any other projects which </w:t>
      </w:r>
      <w:r w:rsidR="007C3FD0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will have an impact on diabetes in BNSSG.</w:t>
      </w:r>
    </w:p>
    <w:p w14:paraId="48896999" w14:textId="5144FD3C" w:rsidR="00456057" w:rsidRPr="00FC3E48" w:rsidRDefault="00A76E53" w:rsidP="00335D67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b/>
          <w:bCs/>
          <w:color w:val="2E74B5" w:themeColor="accent5" w:themeShade="BF"/>
          <w:sz w:val="24"/>
          <w:szCs w:val="24"/>
        </w:rPr>
      </w:pPr>
      <w:r w:rsidRPr="00FC3E48">
        <w:rPr>
          <w:rFonts w:ascii="Arial" w:hAnsi="Arial" w:cs="Arial"/>
          <w:b/>
          <w:bCs/>
          <w:color w:val="2E74B5" w:themeColor="accent5" w:themeShade="BF"/>
          <w:sz w:val="24"/>
          <w:szCs w:val="24"/>
        </w:rPr>
        <w:t xml:space="preserve">Eligibility </w:t>
      </w:r>
      <w:r w:rsidR="0014366A">
        <w:rPr>
          <w:rFonts w:ascii="Arial" w:hAnsi="Arial" w:cs="Arial"/>
          <w:b/>
          <w:bCs/>
          <w:color w:val="2E74B5" w:themeColor="accent5" w:themeShade="BF"/>
          <w:sz w:val="24"/>
          <w:szCs w:val="24"/>
        </w:rPr>
        <w:t>c</w:t>
      </w:r>
      <w:r w:rsidR="00456057" w:rsidRPr="00FC3E48">
        <w:rPr>
          <w:rFonts w:ascii="Arial" w:hAnsi="Arial" w:cs="Arial"/>
          <w:b/>
          <w:bCs/>
          <w:color w:val="2E74B5" w:themeColor="accent5" w:themeShade="BF"/>
          <w:sz w:val="24"/>
          <w:szCs w:val="24"/>
        </w:rPr>
        <w:t>riteria</w:t>
      </w:r>
      <w:r w:rsidRPr="00FC3E48">
        <w:rPr>
          <w:rFonts w:ascii="Arial" w:hAnsi="Arial" w:cs="Arial"/>
          <w:b/>
          <w:bCs/>
          <w:color w:val="2E74B5" w:themeColor="accent5" w:themeShade="BF"/>
          <w:sz w:val="24"/>
          <w:szCs w:val="24"/>
        </w:rPr>
        <w:t xml:space="preserve"> for </w:t>
      </w:r>
      <w:r w:rsidR="000A1C90" w:rsidRPr="00FC3E48">
        <w:rPr>
          <w:rFonts w:ascii="Arial" w:hAnsi="Arial" w:cs="Arial"/>
          <w:b/>
          <w:bCs/>
          <w:color w:val="2E74B5" w:themeColor="accent5" w:themeShade="BF"/>
          <w:sz w:val="24"/>
          <w:szCs w:val="24"/>
        </w:rPr>
        <w:t xml:space="preserve">the </w:t>
      </w:r>
      <w:r w:rsidRPr="00FC3E48">
        <w:rPr>
          <w:rFonts w:ascii="Arial" w:hAnsi="Arial" w:cs="Arial"/>
          <w:b/>
          <w:bCs/>
          <w:color w:val="2E74B5" w:themeColor="accent5" w:themeShade="BF"/>
          <w:sz w:val="24"/>
          <w:szCs w:val="24"/>
        </w:rPr>
        <w:t>funding</w:t>
      </w:r>
    </w:p>
    <w:p w14:paraId="540DE195" w14:textId="3393E5F3" w:rsidR="00ED3C68" w:rsidRDefault="00ED3C68" w:rsidP="00335D67">
      <w:pPr>
        <w:jc w:val="both"/>
        <w:rPr>
          <w:rFonts w:ascii="Arial" w:hAnsi="Arial" w:cs="Arial"/>
          <w:b/>
          <w:bCs/>
          <w:color w:val="2E74B5" w:themeColor="accent5" w:themeShade="BF"/>
          <w:sz w:val="24"/>
          <w:szCs w:val="24"/>
        </w:rPr>
      </w:pPr>
    </w:p>
    <w:p w14:paraId="54DBE955" w14:textId="57195461" w:rsidR="00CF3DFA" w:rsidRDefault="00A76E53" w:rsidP="00335D67">
      <w:pPr>
        <w:shd w:val="clear" w:color="auto" w:fill="FFFFFF"/>
        <w:spacing w:before="120" w:after="120"/>
        <w:jc w:val="both"/>
        <w:textAlignment w:val="baseline"/>
        <w:rPr>
          <w:rFonts w:ascii="Arial" w:hAnsi="Arial" w:cs="Arial"/>
          <w:sz w:val="24"/>
          <w:szCs w:val="24"/>
        </w:rPr>
      </w:pPr>
      <w:r w:rsidRPr="00CF3DFA">
        <w:rPr>
          <w:rFonts w:ascii="Arial" w:hAnsi="Arial" w:cs="Arial"/>
          <w:sz w:val="24"/>
          <w:szCs w:val="24"/>
        </w:rPr>
        <w:t xml:space="preserve">All </w:t>
      </w:r>
      <w:r w:rsidR="00CF3DFA">
        <w:rPr>
          <w:rFonts w:ascii="Arial" w:hAnsi="Arial" w:cs="Arial"/>
          <w:sz w:val="24"/>
          <w:szCs w:val="24"/>
        </w:rPr>
        <w:t>community applications</w:t>
      </w:r>
      <w:r w:rsidRPr="00CF3DFA">
        <w:rPr>
          <w:rFonts w:ascii="Arial" w:hAnsi="Arial" w:cs="Arial"/>
          <w:sz w:val="24"/>
          <w:szCs w:val="24"/>
        </w:rPr>
        <w:t xml:space="preserve"> will be reviewed internally. </w:t>
      </w:r>
    </w:p>
    <w:p w14:paraId="38416B10" w14:textId="487E217D" w:rsidR="00C316DE" w:rsidRDefault="00CF3DFA" w:rsidP="00335D67">
      <w:pPr>
        <w:shd w:val="clear" w:color="auto" w:fill="FFFFFF"/>
        <w:spacing w:before="120" w:after="12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A76E53" w:rsidRPr="00CF3DFA">
        <w:rPr>
          <w:rFonts w:ascii="Arial" w:hAnsi="Arial" w:cs="Arial"/>
          <w:sz w:val="24"/>
          <w:szCs w:val="24"/>
        </w:rPr>
        <w:t xml:space="preserve">he </w:t>
      </w:r>
      <w:r>
        <w:rPr>
          <w:rFonts w:ascii="Arial" w:hAnsi="Arial" w:cs="Arial"/>
          <w:sz w:val="24"/>
          <w:szCs w:val="24"/>
        </w:rPr>
        <w:t>application</w:t>
      </w:r>
      <w:r w:rsidR="00A76E53" w:rsidRPr="00CF3DFA">
        <w:rPr>
          <w:rFonts w:ascii="Arial" w:hAnsi="Arial" w:cs="Arial"/>
          <w:sz w:val="24"/>
          <w:szCs w:val="24"/>
        </w:rPr>
        <w:t xml:space="preserve"> functions as a mini-proposal, and </w:t>
      </w:r>
      <w:r w:rsidR="00C7537B">
        <w:rPr>
          <w:rFonts w:ascii="Arial" w:hAnsi="Arial" w:cs="Arial"/>
          <w:sz w:val="24"/>
          <w:szCs w:val="24"/>
        </w:rPr>
        <w:t>will be measured against</w:t>
      </w:r>
      <w:r w:rsidR="00A76E53" w:rsidRPr="00CF3DFA">
        <w:rPr>
          <w:rFonts w:ascii="Arial" w:hAnsi="Arial" w:cs="Arial"/>
          <w:sz w:val="24"/>
          <w:szCs w:val="24"/>
        </w:rPr>
        <w:t xml:space="preserve"> the selection criteria detailed below</w:t>
      </w:r>
      <w:r>
        <w:rPr>
          <w:rFonts w:ascii="Arial" w:hAnsi="Arial" w:cs="Arial"/>
          <w:sz w:val="24"/>
          <w:szCs w:val="24"/>
        </w:rPr>
        <w:t>:</w:t>
      </w:r>
    </w:p>
    <w:p w14:paraId="6D36BE23" w14:textId="699E7C7C" w:rsidR="0057200B" w:rsidRDefault="0057200B" w:rsidP="00335D67">
      <w:pPr>
        <w:shd w:val="clear" w:color="auto" w:fill="FFFFFF"/>
        <w:spacing w:before="120" w:after="120"/>
        <w:jc w:val="both"/>
        <w:textAlignment w:val="baseline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2"/>
        <w:gridCol w:w="1523"/>
        <w:gridCol w:w="1610"/>
        <w:gridCol w:w="1321"/>
      </w:tblGrid>
      <w:tr w:rsidR="00F064CA" w14:paraId="0763747D" w14:textId="10E52CFE" w:rsidTr="00F064CA">
        <w:tc>
          <w:tcPr>
            <w:tcW w:w="4562" w:type="dxa"/>
          </w:tcPr>
          <w:p w14:paraId="0E28DC20" w14:textId="33CBD296" w:rsidR="00F064CA" w:rsidRPr="00FC3E48" w:rsidRDefault="00F064CA" w:rsidP="00335D67">
            <w:pPr>
              <w:jc w:val="both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Criteria</w:t>
            </w:r>
          </w:p>
        </w:tc>
        <w:tc>
          <w:tcPr>
            <w:tcW w:w="1523" w:type="dxa"/>
          </w:tcPr>
          <w:p w14:paraId="224FECF3" w14:textId="01F910C0" w:rsidR="00F064CA" w:rsidRDefault="00F064CA" w:rsidP="00335D67">
            <w:pPr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Score Weighting</w:t>
            </w:r>
          </w:p>
        </w:tc>
        <w:tc>
          <w:tcPr>
            <w:tcW w:w="1610" w:type="dxa"/>
          </w:tcPr>
          <w:p w14:paraId="50917CC8" w14:textId="5ECB3EB7" w:rsidR="00F064CA" w:rsidRDefault="00F064CA" w:rsidP="00335D67">
            <w:pPr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Maximum Score (ranked out of 10 with 1 being lowest and 10 highest)</w:t>
            </w:r>
          </w:p>
        </w:tc>
        <w:tc>
          <w:tcPr>
            <w:tcW w:w="1321" w:type="dxa"/>
          </w:tcPr>
          <w:p w14:paraId="42FBCD76" w14:textId="2313DFBE" w:rsidR="00F064CA" w:rsidRDefault="00F064CA" w:rsidP="00335D67">
            <w:pPr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Maximum weighted score</w:t>
            </w:r>
          </w:p>
        </w:tc>
      </w:tr>
      <w:tr w:rsidR="00F064CA" w14:paraId="07FB1271" w14:textId="510602C1" w:rsidTr="00F064CA">
        <w:tc>
          <w:tcPr>
            <w:tcW w:w="4562" w:type="dxa"/>
          </w:tcPr>
          <w:p w14:paraId="0D78930A" w14:textId="1BB429AC" w:rsidR="00F064CA" w:rsidRDefault="00F064CA" w:rsidP="00335D67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E4A7C">
              <w:rPr>
                <w:rFonts w:ascii="Arial" w:hAnsi="Arial" w:cs="Arial"/>
                <w:sz w:val="24"/>
                <w:szCs w:val="24"/>
              </w:rPr>
              <w:t>Please provide an overview of your proposed project.</w:t>
            </w:r>
          </w:p>
        </w:tc>
        <w:tc>
          <w:tcPr>
            <w:tcW w:w="1523" w:type="dxa"/>
          </w:tcPr>
          <w:p w14:paraId="509B6120" w14:textId="70A552B7" w:rsidR="00F064CA" w:rsidRDefault="00F064CA" w:rsidP="00335D67">
            <w:pPr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10" w:type="dxa"/>
          </w:tcPr>
          <w:p w14:paraId="65AD9FE0" w14:textId="78E45199" w:rsidR="00F064CA" w:rsidRDefault="00F064CA" w:rsidP="00335D67">
            <w:pPr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21" w:type="dxa"/>
          </w:tcPr>
          <w:p w14:paraId="6EA48C9D" w14:textId="2DB1A979" w:rsidR="00F064CA" w:rsidRDefault="00F064CA" w:rsidP="00335D67">
            <w:pPr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F064CA" w14:paraId="0CC7A0F4" w14:textId="39B34F75" w:rsidTr="00F064CA">
        <w:tc>
          <w:tcPr>
            <w:tcW w:w="4562" w:type="dxa"/>
          </w:tcPr>
          <w:p w14:paraId="044C16F2" w14:textId="3D8C8BFE" w:rsidR="00F064CA" w:rsidRPr="00FE4A7C" w:rsidRDefault="00F064CA" w:rsidP="00FE4A7C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E4A7C">
              <w:rPr>
                <w:rFonts w:ascii="Arial" w:hAnsi="Arial" w:cs="Arial"/>
                <w:sz w:val="24"/>
                <w:szCs w:val="24"/>
              </w:rPr>
              <w:t>a)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4A7C">
              <w:rPr>
                <w:rFonts w:ascii="Arial" w:hAnsi="Arial" w:cs="Arial"/>
                <w:sz w:val="24"/>
                <w:szCs w:val="24"/>
              </w:rPr>
              <w:t xml:space="preserve">How will you support the treatment of patients with diabetes through improving uptake of the nine care processes and and/or achievement of the diabetes treatment targets? </w:t>
            </w:r>
          </w:p>
          <w:p w14:paraId="45FF3DC3" w14:textId="6EA6ACFB" w:rsidR="00F064CA" w:rsidRDefault="00F064CA" w:rsidP="00FE4A7C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E4A7C">
              <w:rPr>
                <w:rFonts w:ascii="Arial" w:hAnsi="Arial" w:cs="Arial"/>
                <w:sz w:val="24"/>
                <w:szCs w:val="24"/>
              </w:rPr>
              <w:t>b)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4A7C">
              <w:rPr>
                <w:rFonts w:ascii="Arial" w:hAnsi="Arial" w:cs="Arial"/>
                <w:sz w:val="24"/>
                <w:szCs w:val="24"/>
              </w:rPr>
              <w:t xml:space="preserve">How will you improve the prevention of diabetes through supporting access to existing schemes (e.g. NDPP, </w:t>
            </w:r>
            <w:proofErr w:type="gramStart"/>
            <w:r w:rsidRPr="00FE4A7C">
              <w:rPr>
                <w:rFonts w:ascii="Arial" w:hAnsi="Arial" w:cs="Arial"/>
                <w:sz w:val="24"/>
                <w:szCs w:val="24"/>
              </w:rPr>
              <w:t>LCD)*</w:t>
            </w:r>
            <w:proofErr w:type="gramEnd"/>
          </w:p>
        </w:tc>
        <w:tc>
          <w:tcPr>
            <w:tcW w:w="1523" w:type="dxa"/>
          </w:tcPr>
          <w:p w14:paraId="6D20923B" w14:textId="04BB7676" w:rsidR="00F064CA" w:rsidRDefault="00F064CA" w:rsidP="00335D67">
            <w:pPr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10" w:type="dxa"/>
          </w:tcPr>
          <w:p w14:paraId="6BF12AF8" w14:textId="33B0A2A3" w:rsidR="00F064CA" w:rsidRDefault="00F064CA" w:rsidP="00335D67">
            <w:pPr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21" w:type="dxa"/>
          </w:tcPr>
          <w:p w14:paraId="2EFC0F0D" w14:textId="2F8CA84F" w:rsidR="00F064CA" w:rsidRDefault="00F064CA" w:rsidP="00335D67">
            <w:pPr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F064CA" w14:paraId="2FD2B12A" w14:textId="16DA2D82" w:rsidTr="00F064CA">
        <w:tc>
          <w:tcPr>
            <w:tcW w:w="4562" w:type="dxa"/>
          </w:tcPr>
          <w:p w14:paraId="617658A7" w14:textId="33D0D3AD" w:rsidR="00F064CA" w:rsidRDefault="00F064CA" w:rsidP="00335D67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E4A7C">
              <w:rPr>
                <w:rFonts w:ascii="Arial" w:hAnsi="Arial" w:cs="Arial"/>
                <w:sz w:val="24"/>
                <w:szCs w:val="24"/>
              </w:rPr>
              <w:t>Please outline the anticipated cost effectiveness of the impact achieved.</w:t>
            </w:r>
          </w:p>
        </w:tc>
        <w:tc>
          <w:tcPr>
            <w:tcW w:w="1523" w:type="dxa"/>
          </w:tcPr>
          <w:p w14:paraId="54CEA4D4" w14:textId="346B1DD1" w:rsidR="00F064CA" w:rsidRDefault="00F064CA" w:rsidP="00335D67">
            <w:pPr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10" w:type="dxa"/>
          </w:tcPr>
          <w:p w14:paraId="1433D85C" w14:textId="58ACA771" w:rsidR="00F064CA" w:rsidRDefault="00F064CA" w:rsidP="00335D67">
            <w:pPr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21" w:type="dxa"/>
          </w:tcPr>
          <w:p w14:paraId="4B108827" w14:textId="213E887D" w:rsidR="00F064CA" w:rsidRDefault="00F064CA" w:rsidP="00335D67">
            <w:pPr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</w:tbl>
    <w:p w14:paraId="0BA51DA7" w14:textId="586F51FA" w:rsidR="00A44D4B" w:rsidRDefault="00A44D4B"/>
    <w:p w14:paraId="1D537B79" w14:textId="77777777" w:rsidR="00A44D4B" w:rsidRDefault="00A44D4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2"/>
        <w:gridCol w:w="1523"/>
        <w:gridCol w:w="1610"/>
        <w:gridCol w:w="1321"/>
      </w:tblGrid>
      <w:tr w:rsidR="00F064CA" w14:paraId="7620768C" w14:textId="54441549" w:rsidTr="00F064CA">
        <w:tc>
          <w:tcPr>
            <w:tcW w:w="4562" w:type="dxa"/>
          </w:tcPr>
          <w:p w14:paraId="58F55589" w14:textId="77777777" w:rsidR="00F064CA" w:rsidRPr="00FE4A7C" w:rsidRDefault="00F064CA" w:rsidP="00FE4A7C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E4A7C">
              <w:rPr>
                <w:rFonts w:ascii="Arial" w:hAnsi="Arial" w:cs="Arial"/>
                <w:sz w:val="24"/>
                <w:szCs w:val="24"/>
              </w:rPr>
              <w:lastRenderedPageBreak/>
              <w:t>Please describe the sustainability of the initiative after the funding has ended.</w:t>
            </w:r>
          </w:p>
          <w:p w14:paraId="1388667F" w14:textId="56DF3B1D" w:rsidR="00F064CA" w:rsidRDefault="00F064CA" w:rsidP="00FE4A7C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E4A7C">
              <w:rPr>
                <w:rFonts w:ascii="Arial" w:hAnsi="Arial" w:cs="Arial"/>
                <w:sz w:val="24"/>
                <w:szCs w:val="24"/>
              </w:rPr>
              <w:t>What do you expect to be the lasting impact(s) from the project?</w:t>
            </w:r>
          </w:p>
        </w:tc>
        <w:tc>
          <w:tcPr>
            <w:tcW w:w="1523" w:type="dxa"/>
          </w:tcPr>
          <w:p w14:paraId="72D0D2FA" w14:textId="6728686A" w:rsidR="00F064CA" w:rsidRDefault="00F064CA" w:rsidP="00335D67">
            <w:pPr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10" w:type="dxa"/>
          </w:tcPr>
          <w:p w14:paraId="503AAD8A" w14:textId="124E0F33" w:rsidR="00F064CA" w:rsidRDefault="00F064CA" w:rsidP="00335D67">
            <w:pPr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21" w:type="dxa"/>
          </w:tcPr>
          <w:p w14:paraId="52F1788C" w14:textId="614B3C23" w:rsidR="00F064CA" w:rsidRDefault="00F064CA" w:rsidP="00335D67">
            <w:pPr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F064CA" w14:paraId="2EDA668F" w14:textId="14AA6356" w:rsidTr="00F064CA">
        <w:tc>
          <w:tcPr>
            <w:tcW w:w="4562" w:type="dxa"/>
          </w:tcPr>
          <w:p w14:paraId="6FD1A224" w14:textId="4A90A181" w:rsidR="00F064CA" w:rsidRDefault="00F064CA" w:rsidP="00335D67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E4A7C">
              <w:rPr>
                <w:rFonts w:ascii="Arial" w:hAnsi="Arial" w:cs="Arial"/>
                <w:sz w:val="24"/>
                <w:szCs w:val="24"/>
              </w:rPr>
              <w:t>Please highlight the ability to share / transferability of the initiative across other communities and partners.</w:t>
            </w:r>
          </w:p>
        </w:tc>
        <w:tc>
          <w:tcPr>
            <w:tcW w:w="1523" w:type="dxa"/>
          </w:tcPr>
          <w:p w14:paraId="58462654" w14:textId="39AE176F" w:rsidR="00F064CA" w:rsidRDefault="00F064CA" w:rsidP="00335D67">
            <w:pPr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10" w:type="dxa"/>
          </w:tcPr>
          <w:p w14:paraId="16394A0C" w14:textId="2895AEC3" w:rsidR="00F064CA" w:rsidRDefault="00F064CA" w:rsidP="00335D67">
            <w:pPr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21" w:type="dxa"/>
          </w:tcPr>
          <w:p w14:paraId="67B190DD" w14:textId="56604DB4" w:rsidR="00F064CA" w:rsidRDefault="00F064CA" w:rsidP="00335D67">
            <w:pPr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F064CA" w14:paraId="622D4CA1" w14:textId="220F5816" w:rsidTr="00A44D4B">
        <w:tc>
          <w:tcPr>
            <w:tcW w:w="4562" w:type="dxa"/>
            <w:tcBorders>
              <w:bottom w:val="single" w:sz="4" w:space="0" w:color="auto"/>
            </w:tcBorders>
          </w:tcPr>
          <w:p w14:paraId="40E365BC" w14:textId="5E39659D" w:rsidR="00F064CA" w:rsidRDefault="00F064CA" w:rsidP="00335D67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E4A7C">
              <w:rPr>
                <w:rFonts w:ascii="Arial" w:hAnsi="Arial" w:cs="Arial"/>
                <w:sz w:val="24"/>
                <w:szCs w:val="24"/>
              </w:rPr>
              <w:t>Please demonstrate your understanding of existing pathways and services and how you will work collaboratively with these.</w:t>
            </w: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14:paraId="1BD3659A" w14:textId="0E6E2BCA" w:rsidR="00F064CA" w:rsidRDefault="00F064CA" w:rsidP="00335D67">
            <w:pPr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10" w:type="dxa"/>
            <w:tcBorders>
              <w:bottom w:val="single" w:sz="4" w:space="0" w:color="auto"/>
            </w:tcBorders>
          </w:tcPr>
          <w:p w14:paraId="6EC2B017" w14:textId="63FE0798" w:rsidR="00F064CA" w:rsidRDefault="00F064CA" w:rsidP="00335D67">
            <w:pPr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21" w:type="dxa"/>
          </w:tcPr>
          <w:p w14:paraId="41B309C0" w14:textId="3E0D13D9" w:rsidR="00F064CA" w:rsidRDefault="00F064CA" w:rsidP="00335D67">
            <w:pPr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A44D4B" w14:paraId="7000559B" w14:textId="77777777" w:rsidTr="00A44D4B">
        <w:tc>
          <w:tcPr>
            <w:tcW w:w="7695" w:type="dxa"/>
            <w:gridSpan w:val="3"/>
            <w:tcBorders>
              <w:left w:val="nil"/>
              <w:bottom w:val="nil"/>
            </w:tcBorders>
          </w:tcPr>
          <w:p w14:paraId="7374F166" w14:textId="433F40FF" w:rsidR="00A44D4B" w:rsidRPr="00A44D4B" w:rsidRDefault="00A44D4B" w:rsidP="00A44D4B">
            <w:pPr>
              <w:jc w:val="right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4D4B">
              <w:rPr>
                <w:rFonts w:ascii="Arial" w:hAnsi="Arial" w:cs="Arial"/>
                <w:b/>
                <w:bCs/>
                <w:sz w:val="24"/>
                <w:szCs w:val="24"/>
              </w:rPr>
              <w:t>Total maximum weighted score</w:t>
            </w:r>
          </w:p>
        </w:tc>
        <w:tc>
          <w:tcPr>
            <w:tcW w:w="1321" w:type="dxa"/>
          </w:tcPr>
          <w:p w14:paraId="685DC2A0" w14:textId="6DF84FA7" w:rsidR="00A44D4B" w:rsidRPr="00A44D4B" w:rsidRDefault="00A44D4B" w:rsidP="00335D67">
            <w:pPr>
              <w:jc w:val="center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4D4B">
              <w:rPr>
                <w:rFonts w:ascii="Arial" w:hAnsi="Arial" w:cs="Arial"/>
                <w:b/>
                <w:bCs/>
                <w:sz w:val="24"/>
                <w:szCs w:val="24"/>
              </w:rPr>
              <w:t>90</w:t>
            </w:r>
          </w:p>
        </w:tc>
      </w:tr>
    </w:tbl>
    <w:p w14:paraId="1090E7B5" w14:textId="77777777" w:rsidR="0057200B" w:rsidRDefault="0057200B" w:rsidP="00335D67">
      <w:pPr>
        <w:shd w:val="clear" w:color="auto" w:fill="FFFFFF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2215C14E" w14:textId="77777777" w:rsidR="0057200B" w:rsidRDefault="0057200B" w:rsidP="00335D67">
      <w:pPr>
        <w:shd w:val="clear" w:color="auto" w:fill="FFFFFF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37A589CE" w14:textId="431D43CA" w:rsidR="0057200B" w:rsidRDefault="0057200B" w:rsidP="00335D67">
      <w:pPr>
        <w:shd w:val="clear" w:color="auto" w:fill="FFFFFF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Applications will be marked out of </w:t>
      </w:r>
      <w:r w:rsidR="00B24E12">
        <w:rPr>
          <w:rFonts w:ascii="Arial" w:hAnsi="Arial" w:cs="Arial"/>
          <w:sz w:val="24"/>
          <w:szCs w:val="24"/>
        </w:rPr>
        <w:t xml:space="preserve">the maximum score </w:t>
      </w:r>
      <w:r>
        <w:rPr>
          <w:rFonts w:ascii="Arial" w:hAnsi="Arial" w:cs="Arial"/>
          <w:sz w:val="24"/>
          <w:szCs w:val="24"/>
        </w:rPr>
        <w:t xml:space="preserve">and then the weighting applied.  </w:t>
      </w:r>
      <w:r w:rsidR="00B24E12">
        <w:rPr>
          <w:rFonts w:ascii="Arial" w:hAnsi="Arial" w:cs="Arial"/>
          <w:sz w:val="24"/>
          <w:szCs w:val="24"/>
        </w:rPr>
        <w:t>The top scoring applications will be approved</w:t>
      </w:r>
      <w:r w:rsidR="00297021">
        <w:rPr>
          <w:rFonts w:ascii="Arial" w:hAnsi="Arial" w:cs="Arial"/>
          <w:sz w:val="24"/>
          <w:szCs w:val="24"/>
        </w:rPr>
        <w:t xml:space="preserve">, which will be </w:t>
      </w:r>
      <w:r w:rsidR="00C316DE">
        <w:rPr>
          <w:rFonts w:ascii="Arial" w:hAnsi="Arial" w:cs="Arial"/>
          <w:sz w:val="24"/>
          <w:szCs w:val="24"/>
        </w:rPr>
        <w:t xml:space="preserve">the top </w:t>
      </w:r>
      <w:r w:rsidR="00B24E12">
        <w:rPr>
          <w:rFonts w:ascii="Arial" w:hAnsi="Arial" w:cs="Arial"/>
          <w:sz w:val="24"/>
          <w:szCs w:val="24"/>
        </w:rPr>
        <w:t>7-10</w:t>
      </w:r>
      <w:r w:rsidR="00C316DE">
        <w:rPr>
          <w:rFonts w:ascii="Arial" w:hAnsi="Arial" w:cs="Arial"/>
          <w:sz w:val="24"/>
          <w:szCs w:val="24"/>
        </w:rPr>
        <w:t xml:space="preserve"> grants until </w:t>
      </w:r>
      <w:r w:rsidR="00B24E12">
        <w:rPr>
          <w:rFonts w:ascii="Arial" w:hAnsi="Arial" w:cs="Arial"/>
          <w:sz w:val="24"/>
          <w:szCs w:val="24"/>
        </w:rPr>
        <w:t xml:space="preserve">the £100,000 </w:t>
      </w:r>
      <w:r w:rsidR="00C316DE">
        <w:rPr>
          <w:rFonts w:ascii="Arial" w:hAnsi="Arial" w:cs="Arial"/>
          <w:sz w:val="24"/>
          <w:szCs w:val="24"/>
        </w:rPr>
        <w:t xml:space="preserve">of </w:t>
      </w:r>
      <w:r w:rsidR="00B24E12">
        <w:rPr>
          <w:rFonts w:ascii="Arial" w:hAnsi="Arial" w:cs="Arial"/>
          <w:sz w:val="24"/>
          <w:szCs w:val="24"/>
        </w:rPr>
        <w:t>fund</w:t>
      </w:r>
      <w:r w:rsidR="00C316DE">
        <w:rPr>
          <w:rFonts w:ascii="Arial" w:hAnsi="Arial" w:cs="Arial"/>
          <w:sz w:val="24"/>
          <w:szCs w:val="24"/>
        </w:rPr>
        <w:t>s are fully allocated.</w:t>
      </w:r>
    </w:p>
    <w:p w14:paraId="74737FD6" w14:textId="77777777" w:rsidR="00FC3E48" w:rsidRDefault="00FC3E48" w:rsidP="00335D67">
      <w:pPr>
        <w:spacing w:line="390" w:lineRule="atLeast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5F6EBBDA" w14:textId="4FB46597" w:rsidR="00ED3C68" w:rsidRPr="00FC3E48" w:rsidRDefault="00ED3C68" w:rsidP="00335D67">
      <w:pPr>
        <w:pStyle w:val="ListParagraph"/>
        <w:numPr>
          <w:ilvl w:val="0"/>
          <w:numId w:val="12"/>
        </w:numPr>
        <w:spacing w:line="390" w:lineRule="atLeast"/>
        <w:jc w:val="both"/>
        <w:textAlignment w:val="baseline"/>
        <w:rPr>
          <w:rFonts w:ascii="Arial" w:eastAsia="Times New Roman" w:hAnsi="Arial" w:cs="Arial"/>
          <w:color w:val="2E74B5" w:themeColor="accent5" w:themeShade="BF"/>
          <w:sz w:val="24"/>
          <w:szCs w:val="24"/>
        </w:rPr>
      </w:pPr>
      <w:r w:rsidRPr="00FC3E48">
        <w:rPr>
          <w:rStyle w:val="Strong"/>
          <w:rFonts w:ascii="Arial" w:hAnsi="Arial" w:cs="Arial"/>
          <w:color w:val="2E74B5" w:themeColor="accent5" w:themeShade="BF"/>
          <w:sz w:val="24"/>
          <w:szCs w:val="24"/>
          <w:bdr w:val="none" w:sz="0" w:space="0" w:color="auto" w:frame="1"/>
        </w:rPr>
        <w:t>Who can apply?</w:t>
      </w:r>
    </w:p>
    <w:p w14:paraId="41D51F6B" w14:textId="2D7C6DD2" w:rsidR="00CD352C" w:rsidRDefault="00ED3C68" w:rsidP="00335D67">
      <w:pPr>
        <w:pStyle w:val="NormalWeb"/>
        <w:shd w:val="clear" w:color="auto" w:fill="FFFFFF"/>
        <w:spacing w:before="120" w:beforeAutospacing="0" w:after="120" w:afterAutospacing="0"/>
        <w:jc w:val="both"/>
        <w:textAlignment w:val="baseline"/>
        <w:rPr>
          <w:rFonts w:ascii="Arial" w:hAnsi="Arial" w:cs="Arial"/>
          <w:color w:val="414042"/>
        </w:rPr>
      </w:pPr>
      <w:r w:rsidRPr="00ED3C68">
        <w:rPr>
          <w:rFonts w:ascii="Arial" w:hAnsi="Arial" w:cs="Arial"/>
          <w:color w:val="414042"/>
        </w:rPr>
        <w:t>Applications</w:t>
      </w:r>
      <w:r w:rsidR="00CD352C">
        <w:rPr>
          <w:rFonts w:ascii="Arial" w:hAnsi="Arial" w:cs="Arial"/>
          <w:color w:val="414042"/>
        </w:rPr>
        <w:t xml:space="preserve"> for funding</w:t>
      </w:r>
      <w:r w:rsidRPr="00ED3C68">
        <w:rPr>
          <w:rFonts w:ascii="Arial" w:hAnsi="Arial" w:cs="Arial"/>
          <w:color w:val="414042"/>
        </w:rPr>
        <w:t xml:space="preserve"> are welcomed from Voluntary, Community and Social Enterprise sector (VCSE) organisations </w:t>
      </w:r>
      <w:r w:rsidR="00CD352C">
        <w:rPr>
          <w:rFonts w:ascii="Arial" w:hAnsi="Arial" w:cs="Arial"/>
          <w:color w:val="414042"/>
        </w:rPr>
        <w:t>across BNSSG</w:t>
      </w:r>
      <w:r w:rsidRPr="00ED3C68">
        <w:rPr>
          <w:rFonts w:ascii="Arial" w:hAnsi="Arial" w:cs="Arial"/>
          <w:color w:val="414042"/>
        </w:rPr>
        <w:t xml:space="preserve"> who </w:t>
      </w:r>
      <w:r w:rsidR="00883287" w:rsidRPr="00ED3C68">
        <w:rPr>
          <w:rFonts w:ascii="Arial" w:hAnsi="Arial" w:cs="Arial"/>
          <w:color w:val="414042"/>
        </w:rPr>
        <w:t>can</w:t>
      </w:r>
      <w:r w:rsidRPr="00ED3C68">
        <w:rPr>
          <w:rFonts w:ascii="Arial" w:hAnsi="Arial" w:cs="Arial"/>
          <w:color w:val="414042"/>
        </w:rPr>
        <w:t xml:space="preserve"> demonstrate reach into the priority communities identified</w:t>
      </w:r>
      <w:r w:rsidR="00AE181B">
        <w:rPr>
          <w:rFonts w:ascii="Arial" w:hAnsi="Arial" w:cs="Arial"/>
          <w:color w:val="414042"/>
        </w:rPr>
        <w:t xml:space="preserve"> (those suffering or at risk of diabetes)</w:t>
      </w:r>
      <w:r w:rsidRPr="00ED3C68">
        <w:rPr>
          <w:rFonts w:ascii="Arial" w:hAnsi="Arial" w:cs="Arial"/>
          <w:color w:val="414042"/>
        </w:rPr>
        <w:t>.</w:t>
      </w:r>
      <w:r w:rsidR="00CD352C">
        <w:rPr>
          <w:rFonts w:ascii="Arial" w:hAnsi="Arial" w:cs="Arial"/>
          <w:color w:val="414042"/>
        </w:rPr>
        <w:t xml:space="preserve"> </w:t>
      </w:r>
    </w:p>
    <w:p w14:paraId="198DE057" w14:textId="35C8437F" w:rsidR="009A20B2" w:rsidRDefault="009A20B2" w:rsidP="00335D67">
      <w:pPr>
        <w:pStyle w:val="NormalWeb"/>
        <w:shd w:val="clear" w:color="auto" w:fill="FFFFFF"/>
        <w:spacing w:before="120" w:beforeAutospacing="0" w:after="120" w:afterAutospacing="0"/>
        <w:jc w:val="both"/>
        <w:textAlignment w:val="baseline"/>
        <w:rPr>
          <w:rFonts w:ascii="Arial" w:hAnsi="Arial" w:cs="Arial"/>
          <w:color w:val="414042"/>
        </w:rPr>
      </w:pPr>
      <w:r>
        <w:rPr>
          <w:rFonts w:ascii="Arial" w:hAnsi="Arial" w:cs="Arial"/>
          <w:color w:val="414042"/>
        </w:rPr>
        <w:t xml:space="preserve">Applications are also welcome from service providers to use within existing volunteer networks. </w:t>
      </w:r>
    </w:p>
    <w:p w14:paraId="36299394" w14:textId="4C4E366F" w:rsidR="00ED3C68" w:rsidRPr="00CD352C" w:rsidRDefault="00CD352C" w:rsidP="00335D67">
      <w:pPr>
        <w:pStyle w:val="NormalWeb"/>
        <w:shd w:val="clear" w:color="auto" w:fill="FFFFFF"/>
        <w:spacing w:before="120" w:beforeAutospacing="0" w:after="120" w:afterAutospacing="0"/>
        <w:jc w:val="both"/>
        <w:textAlignment w:val="baseline"/>
        <w:rPr>
          <w:rFonts w:ascii="Arial" w:hAnsi="Arial" w:cs="Arial"/>
          <w:color w:val="414042"/>
        </w:rPr>
      </w:pPr>
      <w:r w:rsidRPr="00ED3C68">
        <w:rPr>
          <w:rFonts w:ascii="Arial" w:hAnsi="Arial" w:cs="Arial"/>
          <w:color w:val="414042"/>
        </w:rPr>
        <w:t>Informal (non-constituted) groups</w:t>
      </w:r>
      <w:r w:rsidR="00EB275D">
        <w:rPr>
          <w:rFonts w:ascii="Arial" w:hAnsi="Arial" w:cs="Arial"/>
          <w:color w:val="414042"/>
        </w:rPr>
        <w:t xml:space="preserve"> can</w:t>
      </w:r>
      <w:r w:rsidRPr="00ED3C68">
        <w:rPr>
          <w:rFonts w:ascii="Arial" w:hAnsi="Arial" w:cs="Arial"/>
          <w:color w:val="414042"/>
        </w:rPr>
        <w:t xml:space="preserve"> get involved are encouraged to </w:t>
      </w:r>
      <w:r w:rsidR="00EB275D" w:rsidRPr="00ED3C68">
        <w:rPr>
          <w:rFonts w:ascii="Arial" w:hAnsi="Arial" w:cs="Arial"/>
          <w:color w:val="414042"/>
        </w:rPr>
        <w:t>contact</w:t>
      </w:r>
      <w:r w:rsidRPr="00ED3C68">
        <w:rPr>
          <w:rFonts w:ascii="Arial" w:hAnsi="Arial" w:cs="Arial"/>
          <w:color w:val="414042"/>
        </w:rPr>
        <w:t xml:space="preserve"> </w:t>
      </w:r>
      <w:r w:rsidR="00EB275D">
        <w:rPr>
          <w:rFonts w:ascii="Arial" w:hAnsi="Arial" w:cs="Arial"/>
          <w:color w:val="414042"/>
        </w:rPr>
        <w:t xml:space="preserve">BNSSG </w:t>
      </w:r>
      <w:r w:rsidR="00AE181B">
        <w:rPr>
          <w:rFonts w:ascii="Arial" w:hAnsi="Arial" w:cs="Arial"/>
          <w:color w:val="414042"/>
        </w:rPr>
        <w:t>Diabetes P</w:t>
      </w:r>
      <w:r w:rsidR="00EB275D">
        <w:rPr>
          <w:rFonts w:ascii="Arial" w:hAnsi="Arial" w:cs="Arial"/>
          <w:color w:val="414042"/>
        </w:rPr>
        <w:t>rogramme</w:t>
      </w:r>
      <w:r w:rsidRPr="00ED3C68">
        <w:rPr>
          <w:rFonts w:ascii="Arial" w:hAnsi="Arial" w:cs="Arial"/>
          <w:color w:val="414042"/>
        </w:rPr>
        <w:t xml:space="preserve"> </w:t>
      </w:r>
      <w:r w:rsidR="00883287" w:rsidRPr="00ED3C68">
        <w:rPr>
          <w:rFonts w:ascii="Arial" w:hAnsi="Arial" w:cs="Arial"/>
          <w:color w:val="414042"/>
        </w:rPr>
        <w:t>to</w:t>
      </w:r>
      <w:r w:rsidRPr="00ED3C68">
        <w:rPr>
          <w:rFonts w:ascii="Arial" w:hAnsi="Arial" w:cs="Arial"/>
          <w:color w:val="414042"/>
        </w:rPr>
        <w:t xml:space="preserve"> access the </w:t>
      </w:r>
      <w:r>
        <w:rPr>
          <w:rFonts w:ascii="Arial" w:hAnsi="Arial" w:cs="Arial"/>
          <w:color w:val="414042"/>
        </w:rPr>
        <w:t>f</w:t>
      </w:r>
      <w:r w:rsidRPr="00ED3C68">
        <w:rPr>
          <w:rFonts w:ascii="Arial" w:hAnsi="Arial" w:cs="Arial"/>
          <w:color w:val="414042"/>
        </w:rPr>
        <w:t>und</w:t>
      </w:r>
      <w:r>
        <w:rPr>
          <w:rFonts w:ascii="Arial" w:hAnsi="Arial" w:cs="Arial"/>
          <w:color w:val="414042"/>
        </w:rPr>
        <w:t>ing</w:t>
      </w:r>
      <w:r w:rsidR="003A4E54">
        <w:rPr>
          <w:rFonts w:ascii="Arial" w:hAnsi="Arial" w:cs="Arial"/>
          <w:color w:val="414042"/>
        </w:rPr>
        <w:t>.</w:t>
      </w:r>
    </w:p>
    <w:p w14:paraId="740F787E" w14:textId="77777777" w:rsidR="00ED3C68" w:rsidRPr="00ED3C68" w:rsidRDefault="00ED3C68" w:rsidP="00335D67">
      <w:pPr>
        <w:pStyle w:val="NormalWeb"/>
        <w:shd w:val="clear" w:color="auto" w:fill="FFFFFF"/>
        <w:spacing w:before="120" w:beforeAutospacing="0" w:after="120" w:afterAutospacing="0"/>
        <w:jc w:val="both"/>
        <w:textAlignment w:val="baseline"/>
        <w:rPr>
          <w:rFonts w:ascii="Arial" w:hAnsi="Arial" w:cs="Arial"/>
          <w:color w:val="414042"/>
        </w:rPr>
      </w:pPr>
      <w:r w:rsidRPr="00ED3C68">
        <w:rPr>
          <w:rFonts w:ascii="Arial" w:hAnsi="Arial" w:cs="Arial"/>
          <w:color w:val="414042"/>
        </w:rPr>
        <w:t>Working in partnership is encouraged, to extend the reach of funded activities.</w:t>
      </w:r>
    </w:p>
    <w:p w14:paraId="12B37977" w14:textId="7624183E" w:rsidR="00EB275D" w:rsidRDefault="00ED3C68" w:rsidP="00335D67">
      <w:pPr>
        <w:pStyle w:val="NormalWeb"/>
        <w:shd w:val="clear" w:color="auto" w:fill="FFFFFF"/>
        <w:spacing w:before="120" w:beforeAutospacing="0" w:after="120" w:afterAutospacing="0"/>
        <w:jc w:val="both"/>
        <w:textAlignment w:val="baseline"/>
        <w:rPr>
          <w:rFonts w:ascii="Arial" w:hAnsi="Arial" w:cs="Arial"/>
          <w:color w:val="414042"/>
        </w:rPr>
      </w:pPr>
      <w:r w:rsidRPr="00ED3C68">
        <w:rPr>
          <w:rFonts w:ascii="Arial" w:hAnsi="Arial" w:cs="Arial"/>
          <w:color w:val="414042"/>
        </w:rPr>
        <w:t>All awardees will receive support from</w:t>
      </w:r>
      <w:r w:rsidR="00EB275D">
        <w:rPr>
          <w:rFonts w:ascii="Arial" w:hAnsi="Arial" w:cs="Arial"/>
          <w:color w:val="414042"/>
        </w:rPr>
        <w:t xml:space="preserve"> </w:t>
      </w:r>
      <w:r w:rsidR="00AE181B">
        <w:rPr>
          <w:rFonts w:ascii="Arial" w:hAnsi="Arial" w:cs="Arial"/>
          <w:color w:val="414042"/>
        </w:rPr>
        <w:t xml:space="preserve">the Diabetes Programme </w:t>
      </w:r>
      <w:r w:rsidRPr="00ED3C68">
        <w:rPr>
          <w:rFonts w:ascii="Arial" w:hAnsi="Arial" w:cs="Arial"/>
          <w:color w:val="414042"/>
        </w:rPr>
        <w:t>to ensure they have access to accurate and up to date information</w:t>
      </w:r>
      <w:r w:rsidR="00EB275D">
        <w:rPr>
          <w:rFonts w:ascii="Arial" w:hAnsi="Arial" w:cs="Arial"/>
          <w:color w:val="414042"/>
        </w:rPr>
        <w:t xml:space="preserve">, </w:t>
      </w:r>
      <w:proofErr w:type="gramStart"/>
      <w:r w:rsidR="00AE181B">
        <w:rPr>
          <w:rFonts w:ascii="Arial" w:hAnsi="Arial" w:cs="Arial"/>
          <w:color w:val="414042"/>
        </w:rPr>
        <w:t>c</w:t>
      </w:r>
      <w:r w:rsidR="00EB275D">
        <w:rPr>
          <w:rFonts w:ascii="Arial" w:hAnsi="Arial" w:cs="Arial"/>
          <w:color w:val="414042"/>
        </w:rPr>
        <w:t>omms</w:t>
      </w:r>
      <w:proofErr w:type="gramEnd"/>
      <w:r w:rsidRPr="00ED3C68">
        <w:rPr>
          <w:rFonts w:ascii="Arial" w:hAnsi="Arial" w:cs="Arial"/>
          <w:color w:val="414042"/>
        </w:rPr>
        <w:t xml:space="preserve"> and </w:t>
      </w:r>
      <w:r w:rsidR="00EB275D">
        <w:rPr>
          <w:rFonts w:ascii="Arial" w:hAnsi="Arial" w:cs="Arial"/>
          <w:color w:val="414042"/>
        </w:rPr>
        <w:t xml:space="preserve">additional </w:t>
      </w:r>
      <w:r w:rsidRPr="00ED3C68">
        <w:rPr>
          <w:rFonts w:ascii="Arial" w:hAnsi="Arial" w:cs="Arial"/>
          <w:color w:val="414042"/>
        </w:rPr>
        <w:t>resources. </w:t>
      </w:r>
    </w:p>
    <w:p w14:paraId="438E6D4A" w14:textId="0502C0B6" w:rsidR="00ED3C68" w:rsidRDefault="00ED3C68" w:rsidP="00335D67">
      <w:pPr>
        <w:pStyle w:val="NormalWeb"/>
        <w:shd w:val="clear" w:color="auto" w:fill="FFFFFF"/>
        <w:spacing w:before="120" w:beforeAutospacing="0" w:after="120" w:afterAutospacing="0"/>
        <w:jc w:val="both"/>
        <w:textAlignment w:val="baseline"/>
        <w:rPr>
          <w:rFonts w:ascii="Arial" w:hAnsi="Arial" w:cs="Arial"/>
          <w:color w:val="414042"/>
        </w:rPr>
      </w:pPr>
      <w:r w:rsidRPr="00ED3C68">
        <w:rPr>
          <w:rFonts w:ascii="Arial" w:hAnsi="Arial" w:cs="Arial"/>
          <w:color w:val="414042"/>
        </w:rPr>
        <w:t>Awardees will also be asked to contribute to the ongoing engagement that underpins this funding.</w:t>
      </w:r>
    </w:p>
    <w:p w14:paraId="55A7C9B4" w14:textId="77777777" w:rsidR="00EB275D" w:rsidRDefault="00EB275D" w:rsidP="00335D6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042"/>
        </w:rPr>
      </w:pPr>
    </w:p>
    <w:p w14:paraId="0541DF06" w14:textId="1018FE2C" w:rsidR="00A76E53" w:rsidRPr="003A4E54" w:rsidRDefault="00A76E53" w:rsidP="00335D67">
      <w:pPr>
        <w:pStyle w:val="ListParagraph"/>
        <w:numPr>
          <w:ilvl w:val="0"/>
          <w:numId w:val="12"/>
        </w:numPr>
        <w:shd w:val="clear" w:color="auto" w:fill="FFFFFF"/>
        <w:spacing w:before="120" w:after="120"/>
        <w:ind w:left="357" w:hanging="357"/>
        <w:contextualSpacing w:val="0"/>
        <w:jc w:val="both"/>
        <w:textAlignment w:val="baseline"/>
        <w:rPr>
          <w:rFonts w:ascii="Arial" w:eastAsia="Times New Roman" w:hAnsi="Arial" w:cs="Arial"/>
          <w:color w:val="2E74B5" w:themeColor="accent5" w:themeShade="BF"/>
          <w:sz w:val="24"/>
          <w:szCs w:val="24"/>
        </w:rPr>
      </w:pPr>
      <w:r w:rsidRPr="003A4E54">
        <w:rPr>
          <w:rFonts w:ascii="Arial" w:eastAsia="Times New Roman" w:hAnsi="Arial" w:cs="Arial"/>
          <w:b/>
          <w:bCs/>
          <w:color w:val="2E74B5" w:themeColor="accent5" w:themeShade="BF"/>
          <w:sz w:val="24"/>
          <w:szCs w:val="24"/>
          <w:bdr w:val="none" w:sz="0" w:space="0" w:color="auto" w:frame="1"/>
        </w:rPr>
        <w:lastRenderedPageBreak/>
        <w:t>Grants available</w:t>
      </w:r>
    </w:p>
    <w:p w14:paraId="4B159A55" w14:textId="23C78A67" w:rsidR="00A76E53" w:rsidRDefault="00417721" w:rsidP="00335D67">
      <w:pPr>
        <w:pStyle w:val="ListParagraph"/>
        <w:spacing w:before="120" w:after="120"/>
        <w:ind w:left="0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417721">
        <w:rPr>
          <w:rFonts w:ascii="Arial" w:hAnsi="Arial" w:cs="Arial"/>
          <w:sz w:val="24"/>
          <w:szCs w:val="24"/>
        </w:rPr>
        <w:t>As a general principle, awards will be made up to maximum of £</w:t>
      </w:r>
      <w:r w:rsidR="00AE181B">
        <w:rPr>
          <w:rFonts w:ascii="Arial" w:hAnsi="Arial" w:cs="Arial"/>
          <w:sz w:val="24"/>
          <w:szCs w:val="24"/>
        </w:rPr>
        <w:t>2</w:t>
      </w:r>
      <w:r w:rsidRPr="00417721">
        <w:rPr>
          <w:rFonts w:ascii="Arial" w:hAnsi="Arial" w:cs="Arial"/>
          <w:sz w:val="24"/>
          <w:szCs w:val="24"/>
        </w:rPr>
        <w:t xml:space="preserve">0,000. However, the funding application can cover several different initiatives. Applications for smaller amounts of funding </w:t>
      </w:r>
      <w:r w:rsidR="00AE181B">
        <w:rPr>
          <w:rFonts w:ascii="Arial" w:hAnsi="Arial" w:cs="Arial"/>
          <w:sz w:val="24"/>
          <w:szCs w:val="24"/>
        </w:rPr>
        <w:t xml:space="preserve">(from £7,000 upwards) </w:t>
      </w:r>
      <w:r w:rsidRPr="00417721">
        <w:rPr>
          <w:rFonts w:ascii="Arial" w:hAnsi="Arial" w:cs="Arial"/>
          <w:sz w:val="24"/>
          <w:szCs w:val="24"/>
        </w:rPr>
        <w:t>are also very welcome focusing</w:t>
      </w:r>
      <w:r w:rsidR="00A76E53" w:rsidRPr="00417721">
        <w:rPr>
          <w:rFonts w:ascii="Arial" w:eastAsia="Times New Roman" w:hAnsi="Arial" w:cs="Arial"/>
          <w:sz w:val="24"/>
          <w:szCs w:val="24"/>
        </w:rPr>
        <w:t xml:space="preserve"> amongst the priority groups stated above.</w:t>
      </w:r>
    </w:p>
    <w:p w14:paraId="4F9D56AB" w14:textId="77777777" w:rsidR="00C316DE" w:rsidRPr="00417721" w:rsidRDefault="00C316DE" w:rsidP="00335D67">
      <w:pPr>
        <w:pStyle w:val="ListParagraph"/>
        <w:spacing w:before="120" w:after="120"/>
        <w:ind w:left="0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33F7D76E" w14:textId="29DB8506" w:rsidR="00EB275D" w:rsidRPr="003A4E54" w:rsidRDefault="00A76E53" w:rsidP="00335D67">
      <w:pPr>
        <w:pStyle w:val="ListParagraph"/>
        <w:numPr>
          <w:ilvl w:val="0"/>
          <w:numId w:val="12"/>
        </w:numPr>
        <w:shd w:val="clear" w:color="auto" w:fill="FFFFFF"/>
        <w:spacing w:before="120" w:after="120"/>
        <w:contextualSpacing w:val="0"/>
        <w:jc w:val="both"/>
        <w:textAlignment w:val="baseline"/>
        <w:rPr>
          <w:rFonts w:ascii="Arial" w:eastAsia="Times New Roman" w:hAnsi="Arial" w:cs="Arial"/>
          <w:b/>
          <w:bCs/>
          <w:color w:val="2E74B5" w:themeColor="accent5" w:themeShade="BF"/>
          <w:sz w:val="24"/>
          <w:szCs w:val="24"/>
          <w:bdr w:val="none" w:sz="0" w:space="0" w:color="auto" w:frame="1"/>
        </w:rPr>
      </w:pPr>
      <w:r w:rsidRPr="003A4E54">
        <w:rPr>
          <w:rFonts w:ascii="Arial" w:eastAsia="Times New Roman" w:hAnsi="Arial" w:cs="Arial"/>
          <w:b/>
          <w:bCs/>
          <w:color w:val="2E74B5" w:themeColor="accent5" w:themeShade="BF"/>
          <w:sz w:val="24"/>
          <w:szCs w:val="24"/>
          <w:bdr w:val="none" w:sz="0" w:space="0" w:color="auto" w:frame="1"/>
        </w:rPr>
        <w:t>Types of activity that funding can cover</w:t>
      </w:r>
    </w:p>
    <w:p w14:paraId="0D45C22C" w14:textId="673BA2C8" w:rsidR="00A76E53" w:rsidRPr="00FC3E48" w:rsidRDefault="000F3D67" w:rsidP="00335D67">
      <w:pPr>
        <w:pStyle w:val="ListParagraph"/>
        <w:spacing w:before="120" w:after="120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FC3E48">
        <w:rPr>
          <w:rFonts w:ascii="Arial" w:hAnsi="Arial" w:cs="Arial"/>
          <w:sz w:val="24"/>
          <w:szCs w:val="24"/>
        </w:rPr>
        <w:t xml:space="preserve">We are supporting communities to come up with the solutions that best meet their needs </w:t>
      </w:r>
      <w:proofErr w:type="gramStart"/>
      <w:r w:rsidR="00D502E6">
        <w:rPr>
          <w:rFonts w:ascii="Arial" w:hAnsi="Arial" w:cs="Arial"/>
          <w:sz w:val="24"/>
          <w:szCs w:val="24"/>
        </w:rPr>
        <w:t>in regards to</w:t>
      </w:r>
      <w:proofErr w:type="gramEnd"/>
      <w:r w:rsidR="00D502E6">
        <w:rPr>
          <w:rFonts w:ascii="Arial" w:hAnsi="Arial" w:cs="Arial"/>
          <w:sz w:val="24"/>
          <w:szCs w:val="24"/>
        </w:rPr>
        <w:t xml:space="preserve"> diabetes treatment </w:t>
      </w:r>
      <w:r w:rsidRPr="00FC3E48">
        <w:rPr>
          <w:rFonts w:ascii="Arial" w:hAnsi="Arial" w:cs="Arial"/>
          <w:sz w:val="24"/>
          <w:szCs w:val="24"/>
        </w:rPr>
        <w:t xml:space="preserve">and not be prescriptive. </w:t>
      </w:r>
      <w:r w:rsidR="007F7384" w:rsidRPr="00FC3E48">
        <w:rPr>
          <w:rFonts w:ascii="Arial" w:hAnsi="Arial" w:cs="Arial"/>
          <w:sz w:val="24"/>
          <w:szCs w:val="24"/>
        </w:rPr>
        <w:t>Therefore, grants</w:t>
      </w:r>
      <w:r w:rsidR="00A76E53" w:rsidRPr="00FC3E48">
        <w:rPr>
          <w:rFonts w:ascii="Arial" w:hAnsi="Arial" w:cs="Arial"/>
          <w:sz w:val="24"/>
          <w:szCs w:val="24"/>
        </w:rPr>
        <w:t xml:space="preserve"> can be used to enable a range of activity, including but not limited to:</w:t>
      </w:r>
    </w:p>
    <w:p w14:paraId="492A5A1D" w14:textId="77777777" w:rsidR="00EB275D" w:rsidRPr="00EB275D" w:rsidRDefault="00EB275D" w:rsidP="00335D67">
      <w:pPr>
        <w:shd w:val="clear" w:color="auto" w:fill="FFFFFF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2E74B5" w:themeColor="accent5" w:themeShade="BF"/>
          <w:sz w:val="24"/>
          <w:szCs w:val="24"/>
          <w:bdr w:val="none" w:sz="0" w:space="0" w:color="auto" w:frame="1"/>
        </w:rPr>
      </w:pPr>
    </w:p>
    <w:p w14:paraId="5A2135AB" w14:textId="6A73B7B7" w:rsidR="00A76E53" w:rsidRPr="00EB275D" w:rsidRDefault="000A1C90" w:rsidP="00335D67">
      <w:pPr>
        <w:pStyle w:val="NormalWeb"/>
        <w:numPr>
          <w:ilvl w:val="0"/>
          <w:numId w:val="6"/>
        </w:numPr>
        <w:shd w:val="clear" w:color="auto" w:fill="FFFFFF"/>
        <w:spacing w:before="120" w:beforeAutospacing="0" w:after="120" w:afterAutospacing="0"/>
        <w:contextualSpacing/>
        <w:jc w:val="both"/>
        <w:textAlignment w:val="baseline"/>
        <w:rPr>
          <w:rFonts w:ascii="Arial" w:hAnsi="Arial" w:cs="Arial"/>
        </w:rPr>
      </w:pPr>
      <w:r w:rsidRPr="00EB275D">
        <w:rPr>
          <w:rFonts w:ascii="Arial" w:hAnsi="Arial" w:cs="Arial"/>
        </w:rPr>
        <w:t xml:space="preserve">Increasing </w:t>
      </w:r>
      <w:r w:rsidR="00EB275D" w:rsidRPr="00EB275D">
        <w:rPr>
          <w:rFonts w:ascii="Arial" w:hAnsi="Arial" w:cs="Arial"/>
        </w:rPr>
        <w:t>community</w:t>
      </w:r>
      <w:r w:rsidRPr="00EB275D">
        <w:rPr>
          <w:rFonts w:ascii="Arial" w:hAnsi="Arial" w:cs="Arial"/>
        </w:rPr>
        <w:t xml:space="preserve"> capacity</w:t>
      </w:r>
      <w:r w:rsidR="00EB275D" w:rsidRPr="00EB275D">
        <w:rPr>
          <w:rFonts w:ascii="Arial" w:hAnsi="Arial" w:cs="Arial"/>
        </w:rPr>
        <w:t>,</w:t>
      </w:r>
      <w:r w:rsidRPr="00EB275D">
        <w:rPr>
          <w:rFonts w:ascii="Arial" w:hAnsi="Arial" w:cs="Arial"/>
        </w:rPr>
        <w:t xml:space="preserve"> capability</w:t>
      </w:r>
      <w:r w:rsidR="00EB275D" w:rsidRPr="00EB275D">
        <w:rPr>
          <w:rFonts w:ascii="Arial" w:hAnsi="Arial" w:cs="Arial"/>
        </w:rPr>
        <w:t xml:space="preserve">, awareness, </w:t>
      </w:r>
      <w:r w:rsidR="000F3D67" w:rsidRPr="00EB275D">
        <w:rPr>
          <w:rFonts w:ascii="Arial" w:hAnsi="Arial" w:cs="Arial"/>
        </w:rPr>
        <w:t>acceptance,</w:t>
      </w:r>
      <w:r w:rsidR="00EB275D" w:rsidRPr="00EB275D">
        <w:rPr>
          <w:rFonts w:ascii="Arial" w:hAnsi="Arial" w:cs="Arial"/>
        </w:rPr>
        <w:t xml:space="preserve"> and uptake of the </w:t>
      </w:r>
      <w:r w:rsidR="00DD04EB">
        <w:rPr>
          <w:rFonts w:ascii="Arial" w:hAnsi="Arial" w:cs="Arial"/>
        </w:rPr>
        <w:t>Diabetes Programme</w:t>
      </w:r>
      <w:r w:rsidR="00FE2E3A">
        <w:rPr>
          <w:rFonts w:ascii="Arial" w:hAnsi="Arial" w:cs="Arial"/>
        </w:rPr>
        <w:t xml:space="preserve"> (including treatment work,</w:t>
      </w:r>
      <w:r w:rsidR="00641286">
        <w:rPr>
          <w:rFonts w:ascii="Arial" w:hAnsi="Arial" w:cs="Arial"/>
        </w:rPr>
        <w:t xml:space="preserve"> </w:t>
      </w:r>
      <w:r w:rsidR="001D0625">
        <w:rPr>
          <w:rFonts w:ascii="Arial" w:hAnsi="Arial" w:cs="Arial"/>
        </w:rPr>
        <w:t>NDPP</w:t>
      </w:r>
      <w:r w:rsidR="00FE2E3A">
        <w:rPr>
          <w:rFonts w:ascii="Arial" w:hAnsi="Arial" w:cs="Arial"/>
        </w:rPr>
        <w:t>, etc.)</w:t>
      </w:r>
    </w:p>
    <w:p w14:paraId="1D9B19B7" w14:textId="75E0BA47" w:rsidR="00A76E53" w:rsidRPr="00A76E53" w:rsidRDefault="00A76E53" w:rsidP="00335D67">
      <w:pPr>
        <w:numPr>
          <w:ilvl w:val="0"/>
          <w:numId w:val="1"/>
        </w:numPr>
        <w:spacing w:before="120" w:after="120" w:line="390" w:lineRule="atLeast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A76E53">
        <w:rPr>
          <w:rFonts w:ascii="Arial" w:eastAsia="Times New Roman" w:hAnsi="Arial" w:cs="Arial"/>
          <w:sz w:val="24"/>
          <w:szCs w:val="24"/>
        </w:rPr>
        <w:t xml:space="preserve">Increased staffing costs to support community engagement and related costs, to overcome </w:t>
      </w:r>
      <w:r w:rsidR="00DD04EB">
        <w:rPr>
          <w:rFonts w:ascii="Arial" w:eastAsia="Times New Roman" w:hAnsi="Arial" w:cs="Arial"/>
          <w:sz w:val="24"/>
          <w:szCs w:val="24"/>
        </w:rPr>
        <w:t>diabetes inequality</w:t>
      </w:r>
    </w:p>
    <w:p w14:paraId="623653E6" w14:textId="51CA4FE3" w:rsidR="00A76E53" w:rsidRPr="00A76E53" w:rsidRDefault="00A76E53" w:rsidP="00335D67">
      <w:pPr>
        <w:numPr>
          <w:ilvl w:val="0"/>
          <w:numId w:val="1"/>
        </w:numPr>
        <w:spacing w:before="120" w:after="120" w:line="390" w:lineRule="atLeast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A76E53">
        <w:rPr>
          <w:rFonts w:ascii="Arial" w:eastAsia="Times New Roman" w:hAnsi="Arial" w:cs="Arial"/>
          <w:sz w:val="24"/>
          <w:szCs w:val="24"/>
        </w:rPr>
        <w:t>Costs relating to community meetings</w:t>
      </w:r>
      <w:r w:rsidR="00EB275D" w:rsidRPr="00EB275D">
        <w:rPr>
          <w:rFonts w:ascii="Arial" w:eastAsia="Times New Roman" w:hAnsi="Arial" w:cs="Arial"/>
          <w:sz w:val="24"/>
          <w:szCs w:val="24"/>
        </w:rPr>
        <w:t>, webinars etc</w:t>
      </w:r>
    </w:p>
    <w:p w14:paraId="593D9743" w14:textId="73C009A8" w:rsidR="00A76E53" w:rsidRPr="00A76E53" w:rsidRDefault="00A76E53" w:rsidP="00335D67">
      <w:pPr>
        <w:numPr>
          <w:ilvl w:val="0"/>
          <w:numId w:val="1"/>
        </w:numPr>
        <w:spacing w:before="120" w:after="120" w:line="390" w:lineRule="atLeast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A76E53">
        <w:rPr>
          <w:rFonts w:ascii="Arial" w:eastAsia="Times New Roman" w:hAnsi="Arial" w:cs="Arial"/>
          <w:sz w:val="24"/>
          <w:szCs w:val="24"/>
        </w:rPr>
        <w:t xml:space="preserve">Production and distribution of information/ printed materials, including signage and small capital items directly relating to activities to overcome </w:t>
      </w:r>
      <w:r w:rsidR="00DD04EB">
        <w:rPr>
          <w:rFonts w:ascii="Arial" w:eastAsia="Times New Roman" w:hAnsi="Arial" w:cs="Arial"/>
          <w:sz w:val="24"/>
          <w:szCs w:val="24"/>
        </w:rPr>
        <w:t xml:space="preserve">diabetes </w:t>
      </w:r>
      <w:r w:rsidRPr="00A76E53">
        <w:rPr>
          <w:rFonts w:ascii="Arial" w:eastAsia="Times New Roman" w:hAnsi="Arial" w:cs="Arial"/>
          <w:sz w:val="24"/>
          <w:szCs w:val="24"/>
        </w:rPr>
        <w:t>inequality</w:t>
      </w:r>
    </w:p>
    <w:p w14:paraId="2AE0D715" w14:textId="77777777" w:rsidR="00A76E53" w:rsidRPr="00A76E53" w:rsidRDefault="00A76E53" w:rsidP="00335D67">
      <w:pPr>
        <w:numPr>
          <w:ilvl w:val="0"/>
          <w:numId w:val="1"/>
        </w:numPr>
        <w:spacing w:before="120" w:after="120" w:line="390" w:lineRule="atLeast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A76E53">
        <w:rPr>
          <w:rFonts w:ascii="Arial" w:eastAsia="Times New Roman" w:hAnsi="Arial" w:cs="Arial"/>
          <w:sz w:val="24"/>
          <w:szCs w:val="24"/>
        </w:rPr>
        <w:t>Translation services</w:t>
      </w:r>
    </w:p>
    <w:p w14:paraId="4F60EE5C" w14:textId="74D927A1" w:rsidR="00EB275D" w:rsidRPr="00EB275D" w:rsidRDefault="00A76E53" w:rsidP="00335D67">
      <w:pPr>
        <w:numPr>
          <w:ilvl w:val="0"/>
          <w:numId w:val="1"/>
        </w:numPr>
        <w:shd w:val="clear" w:color="auto" w:fill="FFFFFF"/>
        <w:spacing w:before="120" w:after="120" w:line="390" w:lineRule="atLeast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A76E53">
        <w:rPr>
          <w:rFonts w:ascii="Arial" w:eastAsia="Times New Roman" w:hAnsi="Arial" w:cs="Arial"/>
          <w:sz w:val="24"/>
          <w:szCs w:val="24"/>
        </w:rPr>
        <w:t xml:space="preserve">Volunteer expenses or additional staff costs directly related to </w:t>
      </w:r>
      <w:r w:rsidR="00EB275D" w:rsidRPr="00EB275D">
        <w:rPr>
          <w:rFonts w:ascii="Arial" w:eastAsia="Times New Roman" w:hAnsi="Arial" w:cs="Arial"/>
          <w:sz w:val="24"/>
          <w:szCs w:val="24"/>
        </w:rPr>
        <w:t xml:space="preserve">supporting </w:t>
      </w:r>
      <w:r w:rsidR="00DD04EB">
        <w:rPr>
          <w:rFonts w:ascii="Arial" w:eastAsia="Times New Roman" w:hAnsi="Arial" w:cs="Arial"/>
          <w:sz w:val="24"/>
          <w:szCs w:val="24"/>
        </w:rPr>
        <w:t>Diabetes Programme uptake</w:t>
      </w:r>
    </w:p>
    <w:p w14:paraId="177EE978" w14:textId="19AFDB10" w:rsidR="00DD04EB" w:rsidRPr="00DD04EB" w:rsidRDefault="00A76E53" w:rsidP="00335D67">
      <w:pPr>
        <w:numPr>
          <w:ilvl w:val="0"/>
          <w:numId w:val="1"/>
        </w:numPr>
        <w:shd w:val="clear" w:color="auto" w:fill="FFFFFF"/>
        <w:spacing w:before="120" w:after="120" w:line="390" w:lineRule="atLeast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A76E53">
        <w:rPr>
          <w:rFonts w:ascii="Arial" w:eastAsia="Times New Roman" w:hAnsi="Arial" w:cs="Arial"/>
          <w:sz w:val="24"/>
          <w:szCs w:val="24"/>
        </w:rPr>
        <w:t xml:space="preserve">All public facing promotional campaigns and media/social media promotion should be discussed with the </w:t>
      </w:r>
      <w:r w:rsidR="00D502E6">
        <w:rPr>
          <w:rFonts w:ascii="Arial" w:eastAsia="Times New Roman" w:hAnsi="Arial" w:cs="Arial"/>
          <w:sz w:val="24"/>
          <w:szCs w:val="24"/>
        </w:rPr>
        <w:t>ICB</w:t>
      </w:r>
      <w:r w:rsidRPr="00A76E53">
        <w:rPr>
          <w:rFonts w:ascii="Arial" w:eastAsia="Times New Roman" w:hAnsi="Arial" w:cs="Arial"/>
          <w:sz w:val="24"/>
          <w:szCs w:val="24"/>
        </w:rPr>
        <w:t xml:space="preserve"> Communications Team to ensure all branding and messaging is in line with local activity and national guidance</w:t>
      </w:r>
    </w:p>
    <w:p w14:paraId="18EED82F" w14:textId="24BC3D01" w:rsidR="00A76E53" w:rsidRDefault="00A76E53" w:rsidP="00335D67">
      <w:pPr>
        <w:pStyle w:val="ListParagraph"/>
        <w:numPr>
          <w:ilvl w:val="0"/>
          <w:numId w:val="7"/>
        </w:numPr>
        <w:shd w:val="clear" w:color="auto" w:fill="FFFFFF"/>
        <w:spacing w:before="120" w:after="12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EB275D">
        <w:rPr>
          <w:rFonts w:ascii="Arial" w:eastAsia="Times New Roman" w:hAnsi="Arial" w:cs="Arial"/>
          <w:sz w:val="24"/>
          <w:szCs w:val="24"/>
        </w:rPr>
        <w:t>You may also be asked to share any materials or resources created with your grant to support other related community engagement activities</w:t>
      </w:r>
    </w:p>
    <w:p w14:paraId="78DD679D" w14:textId="77777777" w:rsidR="000F3D67" w:rsidRPr="000F3D67" w:rsidRDefault="000F3D67" w:rsidP="00335D67">
      <w:pPr>
        <w:shd w:val="clear" w:color="auto" w:fill="FFFFFF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738E3DAA" w14:textId="77777777" w:rsidR="00EB275D" w:rsidRPr="00EB275D" w:rsidRDefault="00EB275D" w:rsidP="00335D67">
      <w:pPr>
        <w:shd w:val="clear" w:color="auto" w:fill="FFFFFF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1E68CA11" w14:textId="5B49C8E8" w:rsidR="00A76E53" w:rsidRDefault="00EB275D" w:rsidP="00335D6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Strong"/>
          <w:rFonts w:ascii="Arial" w:hAnsi="Arial" w:cs="Arial"/>
          <w:color w:val="2E74B5" w:themeColor="accent5" w:themeShade="BF"/>
          <w:bdr w:val="none" w:sz="0" w:space="0" w:color="auto" w:frame="1"/>
        </w:rPr>
      </w:pPr>
      <w:r>
        <w:rPr>
          <w:rStyle w:val="Strong"/>
          <w:rFonts w:ascii="Arial" w:hAnsi="Arial" w:cs="Arial"/>
          <w:color w:val="2E74B5" w:themeColor="accent5" w:themeShade="BF"/>
          <w:bdr w:val="none" w:sz="0" w:space="0" w:color="auto" w:frame="1"/>
        </w:rPr>
        <w:t xml:space="preserve">7. </w:t>
      </w:r>
      <w:r w:rsidR="000F3D67">
        <w:rPr>
          <w:rStyle w:val="Strong"/>
          <w:rFonts w:ascii="Arial" w:hAnsi="Arial" w:cs="Arial"/>
          <w:color w:val="2E74B5" w:themeColor="accent5" w:themeShade="BF"/>
          <w:bdr w:val="none" w:sz="0" w:space="0" w:color="auto" w:frame="1"/>
        </w:rPr>
        <w:t>Process ho</w:t>
      </w:r>
      <w:r w:rsidR="00A76E53" w:rsidRPr="00A76E53">
        <w:rPr>
          <w:rStyle w:val="Strong"/>
          <w:rFonts w:ascii="Arial" w:hAnsi="Arial" w:cs="Arial"/>
          <w:color w:val="2E74B5" w:themeColor="accent5" w:themeShade="BF"/>
          <w:bdr w:val="none" w:sz="0" w:space="0" w:color="auto" w:frame="1"/>
        </w:rPr>
        <w:t>w to apply</w:t>
      </w:r>
      <w:r>
        <w:rPr>
          <w:rStyle w:val="Strong"/>
          <w:rFonts w:ascii="Arial" w:hAnsi="Arial" w:cs="Arial"/>
          <w:color w:val="2E74B5" w:themeColor="accent5" w:themeShade="BF"/>
          <w:bdr w:val="none" w:sz="0" w:space="0" w:color="auto" w:frame="1"/>
        </w:rPr>
        <w:t>?</w:t>
      </w:r>
    </w:p>
    <w:p w14:paraId="5AFD436B" w14:textId="77777777" w:rsidR="00EB275D" w:rsidRPr="00A76E53" w:rsidRDefault="00EB275D" w:rsidP="00335D6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E74B5" w:themeColor="accent5" w:themeShade="BF"/>
        </w:rPr>
      </w:pPr>
    </w:p>
    <w:p w14:paraId="1CDAD2AF" w14:textId="66A00130" w:rsidR="00870A0A" w:rsidRDefault="00A76E53" w:rsidP="00335D67">
      <w:pPr>
        <w:pStyle w:val="CommentText"/>
        <w:spacing w:after="120"/>
        <w:jc w:val="both"/>
        <w:rPr>
          <w:rFonts w:ascii="Arial" w:hAnsi="Arial" w:cs="Arial"/>
          <w:b/>
          <w:bCs/>
          <w:color w:val="2E74B5" w:themeColor="accent5" w:themeShade="BF"/>
        </w:rPr>
      </w:pPr>
      <w:r w:rsidRPr="00EB275D">
        <w:rPr>
          <w:rFonts w:ascii="Arial" w:hAnsi="Arial" w:cs="Arial"/>
          <w:sz w:val="24"/>
          <w:szCs w:val="24"/>
        </w:rPr>
        <w:t>Applications</w:t>
      </w:r>
      <w:r w:rsidR="000F3D67">
        <w:rPr>
          <w:rFonts w:ascii="Arial" w:hAnsi="Arial" w:cs="Arial"/>
          <w:sz w:val="24"/>
          <w:szCs w:val="24"/>
        </w:rPr>
        <w:t xml:space="preserve"> that match criteria</w:t>
      </w:r>
      <w:r w:rsidRPr="00EB275D">
        <w:rPr>
          <w:rFonts w:ascii="Arial" w:hAnsi="Arial" w:cs="Arial"/>
          <w:sz w:val="24"/>
          <w:szCs w:val="24"/>
        </w:rPr>
        <w:t xml:space="preserve"> can be made</w:t>
      </w:r>
      <w:r w:rsidR="00870A0A">
        <w:rPr>
          <w:rFonts w:ascii="Arial" w:hAnsi="Arial" w:cs="Arial"/>
          <w:sz w:val="24"/>
          <w:szCs w:val="24"/>
        </w:rPr>
        <w:t xml:space="preserve"> after</w:t>
      </w:r>
      <w:r w:rsidR="00EB275D" w:rsidRPr="00EB275D">
        <w:rPr>
          <w:rFonts w:ascii="Arial" w:hAnsi="Arial" w:cs="Arial"/>
          <w:sz w:val="24"/>
          <w:szCs w:val="24"/>
        </w:rPr>
        <w:t xml:space="preserve"> </w:t>
      </w:r>
      <w:r w:rsidR="00EB275D" w:rsidRPr="00DD04EB">
        <w:rPr>
          <w:rFonts w:ascii="Arial" w:hAnsi="Arial" w:cs="Arial"/>
          <w:sz w:val="24"/>
          <w:szCs w:val="24"/>
        </w:rPr>
        <w:t>via an online application form</w:t>
      </w:r>
      <w:r w:rsidRPr="00DD04EB">
        <w:rPr>
          <w:rFonts w:ascii="Arial" w:hAnsi="Arial" w:cs="Arial"/>
          <w:sz w:val="24"/>
          <w:szCs w:val="24"/>
        </w:rPr>
        <w:t xml:space="preserve"> </w:t>
      </w:r>
      <w:bookmarkStart w:id="0" w:name="_Hlk111112836"/>
      <w:r w:rsidR="00EB275D" w:rsidRPr="00DD04EB">
        <w:rPr>
          <w:rFonts w:ascii="Arial" w:hAnsi="Arial" w:cs="Arial"/>
          <w:sz w:val="24"/>
          <w:szCs w:val="24"/>
        </w:rPr>
        <w:t xml:space="preserve">submitted to </w:t>
      </w:r>
      <w:hyperlink r:id="rId13" w:history="1">
        <w:r w:rsidR="00DD04EB" w:rsidRPr="00DD04EB">
          <w:rPr>
            <w:rStyle w:val="Hyperlink"/>
            <w:rFonts w:ascii="Arial" w:hAnsi="Arial" w:cs="Arial"/>
            <w:sz w:val="24"/>
            <w:szCs w:val="24"/>
          </w:rPr>
          <w:t>bnssg.diabetesprogramme@nhs.net</w:t>
        </w:r>
      </w:hyperlink>
      <w:r w:rsidR="00FD086F">
        <w:rPr>
          <w:rStyle w:val="Hyperlink"/>
          <w:rFonts w:ascii="Arial" w:hAnsi="Arial" w:cs="Arial"/>
          <w:sz w:val="24"/>
          <w:szCs w:val="24"/>
        </w:rPr>
        <w:t xml:space="preserve"> </w:t>
      </w:r>
      <w:r w:rsidR="00FD086F">
        <w:rPr>
          <w:rFonts w:ascii="Arial" w:hAnsi="Arial" w:cs="Arial"/>
          <w:sz w:val="24"/>
          <w:szCs w:val="24"/>
        </w:rPr>
        <w:t xml:space="preserve">before the deadline of </w:t>
      </w:r>
      <w:r w:rsidR="00642A21">
        <w:rPr>
          <w:rFonts w:ascii="Arial" w:hAnsi="Arial" w:cs="Arial"/>
          <w:sz w:val="24"/>
          <w:szCs w:val="24"/>
        </w:rPr>
        <w:t xml:space="preserve">midnight on </w:t>
      </w:r>
      <w:r w:rsidR="00FD086F">
        <w:rPr>
          <w:rFonts w:ascii="Arial" w:hAnsi="Arial" w:cs="Arial"/>
          <w:sz w:val="24"/>
          <w:szCs w:val="24"/>
        </w:rPr>
        <w:t xml:space="preserve">Sunday </w:t>
      </w:r>
      <w:r w:rsidR="004C2F0D">
        <w:rPr>
          <w:rFonts w:ascii="Arial" w:hAnsi="Arial" w:cs="Arial"/>
          <w:sz w:val="24"/>
          <w:szCs w:val="24"/>
        </w:rPr>
        <w:t>4</w:t>
      </w:r>
      <w:r w:rsidR="00FD086F" w:rsidRPr="00FD086F">
        <w:rPr>
          <w:rFonts w:ascii="Arial" w:hAnsi="Arial" w:cs="Arial"/>
          <w:sz w:val="24"/>
          <w:szCs w:val="24"/>
          <w:vertAlign w:val="superscript"/>
        </w:rPr>
        <w:t>th</w:t>
      </w:r>
      <w:r w:rsidR="00FD086F">
        <w:rPr>
          <w:rFonts w:ascii="Arial" w:hAnsi="Arial" w:cs="Arial"/>
          <w:sz w:val="24"/>
          <w:szCs w:val="24"/>
        </w:rPr>
        <w:t xml:space="preserve"> </w:t>
      </w:r>
      <w:r w:rsidR="004C2F0D">
        <w:rPr>
          <w:rFonts w:ascii="Arial" w:hAnsi="Arial" w:cs="Arial"/>
          <w:sz w:val="24"/>
          <w:szCs w:val="24"/>
        </w:rPr>
        <w:t>September</w:t>
      </w:r>
      <w:r w:rsidR="00CD7F88">
        <w:rPr>
          <w:rFonts w:ascii="Arial" w:hAnsi="Arial" w:cs="Arial"/>
          <w:sz w:val="24"/>
          <w:szCs w:val="24"/>
        </w:rPr>
        <w:t>.</w:t>
      </w:r>
      <w:bookmarkEnd w:id="0"/>
    </w:p>
    <w:p w14:paraId="23F74B5A" w14:textId="77777777" w:rsidR="00870A0A" w:rsidRDefault="00870A0A" w:rsidP="00335D67">
      <w:pPr>
        <w:pStyle w:val="CommentText"/>
        <w:spacing w:after="120"/>
        <w:jc w:val="both"/>
        <w:rPr>
          <w:rFonts w:ascii="Arial" w:hAnsi="Arial" w:cs="Arial"/>
          <w:b/>
          <w:bCs/>
          <w:color w:val="2E74B5" w:themeColor="accent5" w:themeShade="BF"/>
        </w:rPr>
      </w:pPr>
    </w:p>
    <w:p w14:paraId="73F56D90" w14:textId="7171F276" w:rsidR="00870A0A" w:rsidRPr="00870A0A" w:rsidRDefault="00870A0A" w:rsidP="00335D67">
      <w:pPr>
        <w:pStyle w:val="CommentText"/>
        <w:spacing w:after="12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870A0A">
        <w:rPr>
          <w:rFonts w:ascii="Arial" w:hAnsi="Arial" w:cs="Arial"/>
          <w:b/>
          <w:bCs/>
          <w:color w:val="2E74B5" w:themeColor="accent5" w:themeShade="BF"/>
          <w:sz w:val="24"/>
          <w:szCs w:val="24"/>
        </w:rPr>
        <w:t>8.  Selection</w:t>
      </w:r>
      <w:r w:rsidR="007F7384">
        <w:rPr>
          <w:rFonts w:ascii="Arial" w:hAnsi="Arial" w:cs="Arial"/>
          <w:b/>
          <w:bCs/>
          <w:color w:val="2E74B5" w:themeColor="accent5" w:themeShade="BF"/>
          <w:sz w:val="24"/>
          <w:szCs w:val="24"/>
        </w:rPr>
        <w:t xml:space="preserve"> Process</w:t>
      </w:r>
    </w:p>
    <w:p w14:paraId="1227EBE9" w14:textId="77777777" w:rsidR="00CF58E0" w:rsidRPr="000F3D67" w:rsidRDefault="00CF58E0" w:rsidP="00CF58E0">
      <w:pPr>
        <w:pStyle w:val="NormalWeb"/>
        <w:shd w:val="clear" w:color="auto" w:fill="FFFFFF"/>
        <w:spacing w:before="120" w:beforeAutospacing="0" w:after="120" w:afterAutospacing="0"/>
        <w:jc w:val="both"/>
        <w:textAlignment w:val="baseline"/>
        <w:rPr>
          <w:rFonts w:ascii="Arial" w:hAnsi="Arial" w:cs="Arial"/>
        </w:rPr>
      </w:pPr>
      <w:r w:rsidRPr="000F3D67">
        <w:rPr>
          <w:rFonts w:ascii="Arial" w:hAnsi="Arial" w:cs="Arial"/>
        </w:rPr>
        <w:t>The Selectio</w:t>
      </w:r>
      <w:r>
        <w:rPr>
          <w:rFonts w:ascii="Arial" w:hAnsi="Arial" w:cs="Arial"/>
        </w:rPr>
        <w:t xml:space="preserve">n group </w:t>
      </w:r>
      <w:r w:rsidRPr="000F3D67">
        <w:rPr>
          <w:rFonts w:ascii="Arial" w:hAnsi="Arial" w:cs="Arial"/>
        </w:rPr>
        <w:t xml:space="preserve">will be made up of </w:t>
      </w:r>
      <w:r>
        <w:rPr>
          <w:rFonts w:ascii="Arial" w:hAnsi="Arial" w:cs="Arial"/>
        </w:rPr>
        <w:t>at least three people in the Diabetes Programme including Simon Bailey (Programme Manager).</w:t>
      </w:r>
    </w:p>
    <w:p w14:paraId="2091F88D" w14:textId="77777777" w:rsidR="00CF58E0" w:rsidRPr="00870A0A" w:rsidRDefault="00CF58E0" w:rsidP="00CF58E0">
      <w:pPr>
        <w:pStyle w:val="NormalWeb"/>
        <w:numPr>
          <w:ilvl w:val="0"/>
          <w:numId w:val="8"/>
        </w:numPr>
        <w:shd w:val="clear" w:color="auto" w:fill="FFFFFF"/>
        <w:spacing w:before="120" w:beforeAutospacing="0" w:after="120" w:afterAutospacing="0"/>
        <w:jc w:val="both"/>
        <w:textAlignment w:val="baseline"/>
        <w:rPr>
          <w:rFonts w:ascii="Arial" w:hAnsi="Arial" w:cs="Arial"/>
        </w:rPr>
      </w:pPr>
      <w:r w:rsidRPr="00870A0A">
        <w:rPr>
          <w:rFonts w:ascii="Arial" w:hAnsi="Arial" w:cs="Arial"/>
        </w:rPr>
        <w:t xml:space="preserve">The selection group will meet in the week </w:t>
      </w:r>
      <w:r>
        <w:rPr>
          <w:rFonts w:ascii="Arial" w:hAnsi="Arial" w:cs="Arial"/>
        </w:rPr>
        <w:t>commencing 5</w:t>
      </w:r>
      <w:r w:rsidRPr="005B001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September to </w:t>
      </w:r>
      <w:r w:rsidRPr="00870A0A">
        <w:rPr>
          <w:rFonts w:ascii="Arial" w:hAnsi="Arial" w:cs="Arial"/>
        </w:rPr>
        <w:t xml:space="preserve">review and ratify </w:t>
      </w:r>
      <w:r>
        <w:rPr>
          <w:rFonts w:ascii="Arial" w:hAnsi="Arial" w:cs="Arial"/>
        </w:rPr>
        <w:t xml:space="preserve">applications </w:t>
      </w:r>
      <w:r w:rsidRPr="00870A0A">
        <w:rPr>
          <w:rFonts w:ascii="Arial" w:hAnsi="Arial" w:cs="Arial"/>
        </w:rPr>
        <w:t xml:space="preserve">against </w:t>
      </w:r>
      <w:r>
        <w:rPr>
          <w:rFonts w:ascii="Arial" w:hAnsi="Arial" w:cs="Arial"/>
        </w:rPr>
        <w:t xml:space="preserve">the </w:t>
      </w:r>
      <w:r w:rsidRPr="00870A0A">
        <w:rPr>
          <w:rFonts w:ascii="Arial" w:hAnsi="Arial" w:cs="Arial"/>
        </w:rPr>
        <w:t xml:space="preserve">criteria </w:t>
      </w:r>
    </w:p>
    <w:p w14:paraId="1AF907D3" w14:textId="77777777" w:rsidR="00CF58E0" w:rsidRPr="00870A0A" w:rsidRDefault="00CF58E0" w:rsidP="00CF58E0">
      <w:pPr>
        <w:pStyle w:val="NormalWeb"/>
        <w:numPr>
          <w:ilvl w:val="0"/>
          <w:numId w:val="8"/>
        </w:numPr>
        <w:shd w:val="clear" w:color="auto" w:fill="FFFFFF"/>
        <w:spacing w:before="120" w:beforeAutospacing="0" w:after="12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Shortlisted organisations will be invited to the second round for a 30mins Q&amp;A interview with the selection panel on either the 8</w:t>
      </w:r>
      <w:r w:rsidRPr="00CA104B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, 9</w:t>
      </w:r>
      <w:r w:rsidRPr="00CA104B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, </w:t>
      </w:r>
      <w:proofErr w:type="gramStart"/>
      <w:r>
        <w:rPr>
          <w:rFonts w:ascii="Arial" w:hAnsi="Arial" w:cs="Arial"/>
        </w:rPr>
        <w:t>12</w:t>
      </w:r>
      <w:r w:rsidRPr="00CA104B">
        <w:rPr>
          <w:rFonts w:ascii="Arial" w:hAnsi="Arial" w:cs="Arial"/>
          <w:vertAlign w:val="superscript"/>
        </w:rPr>
        <w:t>th</w:t>
      </w:r>
      <w:proofErr w:type="gramEnd"/>
      <w:r>
        <w:rPr>
          <w:rFonts w:ascii="Arial" w:hAnsi="Arial" w:cs="Arial"/>
        </w:rPr>
        <w:t xml:space="preserve"> or 13</w:t>
      </w:r>
      <w:r w:rsidRPr="00CA104B">
        <w:rPr>
          <w:rFonts w:ascii="Arial" w:hAnsi="Arial" w:cs="Arial"/>
          <w:vertAlign w:val="superscript"/>
        </w:rPr>
        <w:t>t</w:t>
      </w:r>
      <w:r>
        <w:rPr>
          <w:rFonts w:ascii="Arial" w:hAnsi="Arial" w:cs="Arial"/>
          <w:vertAlign w:val="superscript"/>
        </w:rPr>
        <w:t>h</w:t>
      </w:r>
      <w:r>
        <w:rPr>
          <w:rFonts w:ascii="Arial" w:hAnsi="Arial" w:cs="Arial"/>
        </w:rPr>
        <w:t xml:space="preserve"> of September.</w:t>
      </w:r>
    </w:p>
    <w:p w14:paraId="5EADF1E2" w14:textId="77777777" w:rsidR="00CF58E0" w:rsidRPr="00A7453D" w:rsidRDefault="00CF58E0" w:rsidP="00CF58E0">
      <w:pPr>
        <w:pStyle w:val="NormalWeb"/>
        <w:numPr>
          <w:ilvl w:val="0"/>
          <w:numId w:val="8"/>
        </w:numPr>
        <w:shd w:val="clear" w:color="auto" w:fill="FFFFFF"/>
        <w:spacing w:before="120" w:beforeAutospacing="0" w:after="120" w:afterAutospacing="0"/>
        <w:jc w:val="both"/>
        <w:textAlignment w:val="baseline"/>
      </w:pPr>
      <w:r>
        <w:rPr>
          <w:rFonts w:ascii="Arial" w:hAnsi="Arial" w:cs="Arial"/>
        </w:rPr>
        <w:t>Decisions will be announced by 16</w:t>
      </w:r>
      <w:r w:rsidRPr="00A47CE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September and successful </w:t>
      </w:r>
      <w:r w:rsidRPr="007F7384">
        <w:rPr>
          <w:rFonts w:ascii="Arial" w:hAnsi="Arial" w:cs="Arial"/>
        </w:rPr>
        <w:t xml:space="preserve">organisations </w:t>
      </w:r>
      <w:r>
        <w:rPr>
          <w:rFonts w:ascii="Arial" w:hAnsi="Arial" w:cs="Arial"/>
        </w:rPr>
        <w:t>will be</w:t>
      </w:r>
      <w:r w:rsidRPr="007F73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awarded the grants</w:t>
      </w:r>
    </w:p>
    <w:p w14:paraId="522548D6" w14:textId="77777777" w:rsidR="00CF58E0" w:rsidRDefault="00CF58E0" w:rsidP="00CF58E0">
      <w:pPr>
        <w:pStyle w:val="NormalWeb"/>
        <w:numPr>
          <w:ilvl w:val="0"/>
          <w:numId w:val="8"/>
        </w:numPr>
        <w:shd w:val="clear" w:color="auto" w:fill="FFFFFF"/>
        <w:spacing w:before="120" w:beforeAutospacing="0" w:after="120" w:afterAutospacing="0"/>
        <w:jc w:val="both"/>
        <w:textAlignment w:val="baseline"/>
      </w:pPr>
      <w:r>
        <w:rPr>
          <w:rFonts w:ascii="Arial" w:hAnsi="Arial" w:cs="Arial"/>
        </w:rPr>
        <w:t xml:space="preserve">Successful organisations will be </w:t>
      </w:r>
      <w:r w:rsidRPr="007F7384">
        <w:rPr>
          <w:rFonts w:ascii="Arial" w:hAnsi="Arial" w:cs="Arial"/>
        </w:rPr>
        <w:t>expected to sign an agreement including T&amp;</w:t>
      </w:r>
      <w:proofErr w:type="gramStart"/>
      <w:r w:rsidRPr="007F7384">
        <w:rPr>
          <w:rFonts w:ascii="Arial" w:hAnsi="Arial" w:cs="Arial"/>
        </w:rPr>
        <w:t>C’s</w:t>
      </w:r>
      <w:proofErr w:type="gramEnd"/>
      <w:r w:rsidRPr="007F7384">
        <w:rPr>
          <w:rFonts w:ascii="Arial" w:hAnsi="Arial" w:cs="Arial"/>
        </w:rPr>
        <w:t xml:space="preserve"> related to the outcomes of the project and their specific project details included within their application</w:t>
      </w:r>
      <w:r>
        <w:t xml:space="preserve"> </w:t>
      </w:r>
    </w:p>
    <w:p w14:paraId="7B681C7F" w14:textId="77777777" w:rsidR="00CF58E0" w:rsidRDefault="00CF58E0" w:rsidP="00CF58E0">
      <w:pPr>
        <w:pStyle w:val="NormalWeb"/>
        <w:numPr>
          <w:ilvl w:val="0"/>
          <w:numId w:val="8"/>
        </w:numPr>
        <w:shd w:val="clear" w:color="auto" w:fill="FFFFFF"/>
        <w:spacing w:before="120" w:beforeAutospacing="0" w:after="120" w:afterAutospacing="0"/>
        <w:jc w:val="both"/>
        <w:textAlignment w:val="baseline"/>
      </w:pPr>
      <w:r>
        <w:rPr>
          <w:rFonts w:ascii="Arial" w:hAnsi="Arial" w:cs="Arial"/>
        </w:rPr>
        <w:t>Once f</w:t>
      </w:r>
      <w:r w:rsidRPr="007F7384">
        <w:rPr>
          <w:rFonts w:ascii="Arial" w:hAnsi="Arial" w:cs="Arial"/>
        </w:rPr>
        <w:t xml:space="preserve">unding is </w:t>
      </w:r>
      <w:r>
        <w:rPr>
          <w:rFonts w:ascii="Arial" w:hAnsi="Arial" w:cs="Arial"/>
        </w:rPr>
        <w:t xml:space="preserve">confirmed, </w:t>
      </w:r>
      <w:r w:rsidRPr="007F7384">
        <w:rPr>
          <w:rFonts w:ascii="Arial" w:hAnsi="Arial" w:cs="Arial"/>
        </w:rPr>
        <w:t xml:space="preserve">organisations can </w:t>
      </w:r>
      <w:r>
        <w:rPr>
          <w:rFonts w:ascii="Arial" w:hAnsi="Arial" w:cs="Arial"/>
        </w:rPr>
        <w:t xml:space="preserve">raise an invoice to BNSSG ICB and </w:t>
      </w:r>
      <w:r w:rsidRPr="007F7384">
        <w:rPr>
          <w:rFonts w:ascii="Arial" w:hAnsi="Arial" w:cs="Arial"/>
        </w:rPr>
        <w:t xml:space="preserve">start </w:t>
      </w:r>
      <w:r>
        <w:rPr>
          <w:rFonts w:ascii="Arial" w:hAnsi="Arial" w:cs="Arial"/>
        </w:rPr>
        <w:t xml:space="preserve">the </w:t>
      </w:r>
      <w:r w:rsidRPr="007F7384">
        <w:rPr>
          <w:rFonts w:ascii="Arial" w:hAnsi="Arial" w:cs="Arial"/>
        </w:rPr>
        <w:t>project</w:t>
      </w:r>
      <w:r w:rsidRPr="00FC3E48">
        <w:rPr>
          <w:rFonts w:ascii="Arial" w:hAnsi="Arial" w:cs="Arial"/>
        </w:rPr>
        <w:t>/initiative</w:t>
      </w:r>
    </w:p>
    <w:p w14:paraId="641A1D69" w14:textId="77777777" w:rsidR="00CF58E0" w:rsidRPr="007F7384" w:rsidRDefault="00CF58E0" w:rsidP="00CF58E0">
      <w:pPr>
        <w:pStyle w:val="NormalWeb"/>
        <w:numPr>
          <w:ilvl w:val="0"/>
          <w:numId w:val="8"/>
        </w:numPr>
        <w:shd w:val="clear" w:color="auto" w:fill="FFFFFF"/>
        <w:spacing w:before="120" w:beforeAutospacing="0" w:after="120" w:afterAutospacing="0"/>
        <w:jc w:val="both"/>
        <w:textAlignment w:val="baseline"/>
        <w:rPr>
          <w:rFonts w:ascii="Arial" w:hAnsi="Arial" w:cs="Arial"/>
        </w:rPr>
      </w:pPr>
      <w:r w:rsidRPr="007F7384">
        <w:rPr>
          <w:rFonts w:ascii="Arial" w:hAnsi="Arial" w:cs="Arial"/>
        </w:rPr>
        <w:t>Funded organisations are expected to provide regular updates on learning and progress</w:t>
      </w:r>
      <w:r>
        <w:rPr>
          <w:rFonts w:ascii="Arial" w:hAnsi="Arial" w:cs="Arial"/>
        </w:rPr>
        <w:t xml:space="preserve"> – monthly as a general principle but more often if needed in certain situations</w:t>
      </w:r>
    </w:p>
    <w:p w14:paraId="58E726ED" w14:textId="77777777" w:rsidR="00CF58E0" w:rsidRDefault="00CF58E0" w:rsidP="00CF58E0">
      <w:pPr>
        <w:pStyle w:val="NormalWeb"/>
        <w:numPr>
          <w:ilvl w:val="0"/>
          <w:numId w:val="8"/>
        </w:numPr>
        <w:shd w:val="clear" w:color="auto" w:fill="FFFFFF"/>
        <w:spacing w:before="120" w:beforeAutospacing="0" w:after="120" w:afterAutospacing="0"/>
        <w:jc w:val="both"/>
        <w:textAlignment w:val="baseline"/>
        <w:rPr>
          <w:rFonts w:ascii="Arial" w:hAnsi="Arial" w:cs="Arial"/>
        </w:rPr>
      </w:pPr>
      <w:r w:rsidRPr="007F7384">
        <w:rPr>
          <w:rFonts w:ascii="Arial" w:hAnsi="Arial" w:cs="Arial"/>
        </w:rPr>
        <w:t>Project close, review and lessons learnt</w:t>
      </w:r>
      <w:r>
        <w:rPr>
          <w:rFonts w:ascii="Arial" w:hAnsi="Arial" w:cs="Arial"/>
        </w:rPr>
        <w:t>;</w:t>
      </w:r>
      <w:r w:rsidRPr="007F73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7F7384">
        <w:rPr>
          <w:rFonts w:ascii="Arial" w:hAnsi="Arial" w:cs="Arial"/>
        </w:rPr>
        <w:t xml:space="preserve">rganisations are expected to provide </w:t>
      </w:r>
      <w:r>
        <w:rPr>
          <w:rFonts w:ascii="Arial" w:hAnsi="Arial" w:cs="Arial"/>
        </w:rPr>
        <w:t xml:space="preserve">Diabetes Programme </w:t>
      </w:r>
      <w:r w:rsidRPr="007F7384">
        <w:rPr>
          <w:rFonts w:ascii="Arial" w:hAnsi="Arial" w:cs="Arial"/>
        </w:rPr>
        <w:t xml:space="preserve">with </w:t>
      </w:r>
      <w:r>
        <w:rPr>
          <w:rFonts w:ascii="Arial" w:hAnsi="Arial" w:cs="Arial"/>
        </w:rPr>
        <w:t>a</w:t>
      </w:r>
      <w:r w:rsidRPr="007F7384">
        <w:rPr>
          <w:rFonts w:ascii="Arial" w:hAnsi="Arial" w:cs="Arial"/>
        </w:rPr>
        <w:t xml:space="preserve"> review of</w:t>
      </w:r>
      <w:r>
        <w:rPr>
          <w:rFonts w:ascii="Arial" w:hAnsi="Arial" w:cs="Arial"/>
        </w:rPr>
        <w:t xml:space="preserve"> their outputs and outcomes </w:t>
      </w:r>
      <w:r w:rsidRPr="007F7384">
        <w:rPr>
          <w:rFonts w:ascii="Arial" w:hAnsi="Arial" w:cs="Arial"/>
        </w:rPr>
        <w:t>and any lessons learned</w:t>
      </w:r>
    </w:p>
    <w:p w14:paraId="36CD2D83" w14:textId="77777777" w:rsidR="00CF58E0" w:rsidRPr="007F7384" w:rsidRDefault="00CF58E0" w:rsidP="00CF58E0">
      <w:pPr>
        <w:pStyle w:val="NormalWeb"/>
        <w:numPr>
          <w:ilvl w:val="0"/>
          <w:numId w:val="8"/>
        </w:numPr>
        <w:shd w:val="clear" w:color="auto" w:fill="FFFFFF"/>
        <w:spacing w:before="120" w:beforeAutospacing="0" w:after="120" w:afterAutospacing="0"/>
        <w:jc w:val="both"/>
        <w:textAlignment w:val="baseline"/>
        <w:rPr>
          <w:rFonts w:ascii="Arial" w:hAnsi="Arial" w:cs="Arial"/>
        </w:rPr>
      </w:pPr>
      <w:r w:rsidRPr="007F7384">
        <w:rPr>
          <w:rFonts w:ascii="Arial" w:hAnsi="Arial" w:cs="Arial"/>
        </w:rPr>
        <w:t>Projects must b</w:t>
      </w:r>
      <w:r>
        <w:rPr>
          <w:rFonts w:ascii="Arial" w:hAnsi="Arial" w:cs="Arial"/>
        </w:rPr>
        <w:t>e</w:t>
      </w:r>
      <w:r w:rsidRPr="007F7384">
        <w:rPr>
          <w:rFonts w:ascii="Arial" w:hAnsi="Arial" w:cs="Arial"/>
        </w:rPr>
        <w:t xml:space="preserve"> completed by March 31st, 202</w:t>
      </w:r>
      <w:r>
        <w:rPr>
          <w:rFonts w:ascii="Arial" w:hAnsi="Arial" w:cs="Arial"/>
        </w:rPr>
        <w:t>3</w:t>
      </w:r>
    </w:p>
    <w:p w14:paraId="7CE945B3" w14:textId="77777777" w:rsidR="000F3D67" w:rsidRPr="007F7384" w:rsidRDefault="000F3D67" w:rsidP="00335D6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14:paraId="4BE9666E" w14:textId="1C23E2CF" w:rsidR="00ED3C68" w:rsidRPr="00A76E53" w:rsidRDefault="00ED3C68" w:rsidP="00335D67">
      <w:pPr>
        <w:jc w:val="both"/>
        <w:rPr>
          <w:rFonts w:ascii="Arial" w:hAnsi="Arial" w:cs="Arial"/>
          <w:b/>
          <w:bCs/>
          <w:sz w:val="24"/>
          <w:szCs w:val="24"/>
        </w:rPr>
      </w:pPr>
    </w:p>
    <w:sectPr w:rsidR="00ED3C68" w:rsidRPr="00A76E53" w:rsidSect="00C316DE">
      <w:headerReference w:type="default" r:id="rId14"/>
      <w:pgSz w:w="11906" w:h="16838"/>
      <w:pgMar w:top="1440" w:right="1440" w:bottom="425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43452" w14:textId="77777777" w:rsidR="00B8317F" w:rsidRDefault="00B8317F" w:rsidP="00456057">
      <w:r>
        <w:separator/>
      </w:r>
    </w:p>
  </w:endnote>
  <w:endnote w:type="continuationSeparator" w:id="0">
    <w:p w14:paraId="34EFF558" w14:textId="77777777" w:rsidR="00B8317F" w:rsidRDefault="00B8317F" w:rsidP="00456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C7863" w14:textId="77777777" w:rsidR="00B8317F" w:rsidRDefault="00B8317F" w:rsidP="00456057">
      <w:r>
        <w:separator/>
      </w:r>
    </w:p>
  </w:footnote>
  <w:footnote w:type="continuationSeparator" w:id="0">
    <w:p w14:paraId="3AE58E1A" w14:textId="77777777" w:rsidR="00B8317F" w:rsidRDefault="00B8317F" w:rsidP="00456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48249" w14:textId="6B2D73AF" w:rsidR="00456057" w:rsidRDefault="00A44D4B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9BBEEA5" wp14:editId="259DF882">
          <wp:simplePos x="0" y="0"/>
          <wp:positionH relativeFrom="column">
            <wp:posOffset>3370269</wp:posOffset>
          </wp:positionH>
          <wp:positionV relativeFrom="paragraph">
            <wp:posOffset>-141650</wp:posOffset>
          </wp:positionV>
          <wp:extent cx="2925445" cy="970280"/>
          <wp:effectExtent l="0" t="0" r="8255" b="1270"/>
          <wp:wrapTopAndBottom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5445" cy="970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56057">
      <w:rPr>
        <w:noProof/>
      </w:rPr>
      <w:drawing>
        <wp:anchor distT="0" distB="0" distL="114300" distR="114300" simplePos="0" relativeHeight="251659264" behindDoc="1" locked="0" layoutInCell="1" allowOverlap="1" wp14:anchorId="3272A402" wp14:editId="1D164D12">
          <wp:simplePos x="0" y="0"/>
          <wp:positionH relativeFrom="column">
            <wp:posOffset>-273050</wp:posOffset>
          </wp:positionH>
          <wp:positionV relativeFrom="paragraph">
            <wp:posOffset>-368935</wp:posOffset>
          </wp:positionV>
          <wp:extent cx="1379855" cy="681355"/>
          <wp:effectExtent l="0" t="0" r="0" b="4445"/>
          <wp:wrapTight wrapText="bothSides">
            <wp:wrapPolygon edited="0">
              <wp:start x="0" y="0"/>
              <wp:lineTo x="0" y="21137"/>
              <wp:lineTo x="21173" y="21137"/>
              <wp:lineTo x="21173" y="0"/>
              <wp:lineTo x="0" y="0"/>
            </wp:wrapPolygon>
          </wp:wrapTight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T square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225" b="19422"/>
                  <a:stretch/>
                </pic:blipFill>
                <pic:spPr bwMode="auto">
                  <a:xfrm>
                    <a:off x="0" y="0"/>
                    <a:ext cx="1379855" cy="6813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F6D40"/>
    <w:multiLevelType w:val="hybridMultilevel"/>
    <w:tmpl w:val="08DC2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877A6"/>
    <w:multiLevelType w:val="multilevel"/>
    <w:tmpl w:val="C12E9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1613A57"/>
    <w:multiLevelType w:val="hybridMultilevel"/>
    <w:tmpl w:val="A20C3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7B6ECC"/>
    <w:multiLevelType w:val="hybridMultilevel"/>
    <w:tmpl w:val="920AF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A3E8B"/>
    <w:multiLevelType w:val="multilevel"/>
    <w:tmpl w:val="4B2AF6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0" w:hanging="400"/>
      </w:pPr>
      <w:rPr>
        <w:rFonts w:eastAsiaTheme="minorEastAsia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EastAsia" w:hint="default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Theme="minorEastAsia" w:hint="default"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EastAsia" w:hint="default"/>
        <w:color w:val="000000" w:themeColor="text1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Theme="minorEastAsia" w:hint="default"/>
        <w:color w:val="000000" w:themeColor="text1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EastAsia" w:hint="default"/>
        <w:color w:val="000000" w:themeColor="text1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Theme="minorEastAsia" w:hint="default"/>
        <w:color w:val="000000" w:themeColor="text1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EastAsia" w:hint="default"/>
        <w:color w:val="000000" w:themeColor="text1"/>
      </w:rPr>
    </w:lvl>
  </w:abstractNum>
  <w:abstractNum w:abstractNumId="5" w15:restartNumberingAfterBreak="0">
    <w:nsid w:val="3D5768C8"/>
    <w:multiLevelType w:val="hybridMultilevel"/>
    <w:tmpl w:val="0EF88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F5AEC"/>
    <w:multiLevelType w:val="hybridMultilevel"/>
    <w:tmpl w:val="D004CA2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40926DE5"/>
    <w:multiLevelType w:val="multilevel"/>
    <w:tmpl w:val="5AA84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61712FA"/>
    <w:multiLevelType w:val="hybridMultilevel"/>
    <w:tmpl w:val="B242035A"/>
    <w:lvl w:ilvl="0" w:tplc="8904E806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963254"/>
    <w:multiLevelType w:val="hybridMultilevel"/>
    <w:tmpl w:val="ADDA2D0C"/>
    <w:lvl w:ilvl="0" w:tplc="81064AC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DF06B4"/>
    <w:multiLevelType w:val="hybridMultilevel"/>
    <w:tmpl w:val="8C646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0F4F1A"/>
    <w:multiLevelType w:val="hybridMultilevel"/>
    <w:tmpl w:val="9B5E01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6954D31"/>
    <w:multiLevelType w:val="hybridMultilevel"/>
    <w:tmpl w:val="0A108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97155D"/>
    <w:multiLevelType w:val="hybridMultilevel"/>
    <w:tmpl w:val="C1D0C9C8"/>
    <w:lvl w:ilvl="0" w:tplc="9FD899A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FB02E1C"/>
    <w:multiLevelType w:val="hybridMultilevel"/>
    <w:tmpl w:val="3ED4BF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6451C8"/>
    <w:multiLevelType w:val="hybridMultilevel"/>
    <w:tmpl w:val="76CC16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F7685F"/>
    <w:multiLevelType w:val="hybridMultilevel"/>
    <w:tmpl w:val="C5E6C28E"/>
    <w:lvl w:ilvl="0" w:tplc="6ED093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775A5F"/>
    <w:multiLevelType w:val="multilevel"/>
    <w:tmpl w:val="7C982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88B35D5"/>
    <w:multiLevelType w:val="hybridMultilevel"/>
    <w:tmpl w:val="F410C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9F1394"/>
    <w:multiLevelType w:val="multilevel"/>
    <w:tmpl w:val="C12E9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AAF6718"/>
    <w:multiLevelType w:val="hybridMultilevel"/>
    <w:tmpl w:val="ABB24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7657616">
    <w:abstractNumId w:val="1"/>
  </w:num>
  <w:num w:numId="2" w16cid:durableId="1402823619">
    <w:abstractNumId w:val="7"/>
  </w:num>
  <w:num w:numId="3" w16cid:durableId="812988022">
    <w:abstractNumId w:val="4"/>
  </w:num>
  <w:num w:numId="4" w16cid:durableId="1558778074">
    <w:abstractNumId w:val="2"/>
  </w:num>
  <w:num w:numId="5" w16cid:durableId="456026649">
    <w:abstractNumId w:val="19"/>
  </w:num>
  <w:num w:numId="6" w16cid:durableId="865949555">
    <w:abstractNumId w:val="17"/>
  </w:num>
  <w:num w:numId="7" w16cid:durableId="293220459">
    <w:abstractNumId w:val="10"/>
  </w:num>
  <w:num w:numId="8" w16cid:durableId="785084054">
    <w:abstractNumId w:val="3"/>
  </w:num>
  <w:num w:numId="9" w16cid:durableId="894269682">
    <w:abstractNumId w:val="20"/>
  </w:num>
  <w:num w:numId="10" w16cid:durableId="1361468251">
    <w:abstractNumId w:val="15"/>
  </w:num>
  <w:num w:numId="11" w16cid:durableId="1260676685">
    <w:abstractNumId w:val="14"/>
  </w:num>
  <w:num w:numId="12" w16cid:durableId="548155017">
    <w:abstractNumId w:val="13"/>
  </w:num>
  <w:num w:numId="13" w16cid:durableId="2102605532">
    <w:abstractNumId w:val="6"/>
  </w:num>
  <w:num w:numId="14" w16cid:durableId="1089040354">
    <w:abstractNumId w:val="11"/>
  </w:num>
  <w:num w:numId="15" w16cid:durableId="1090547349">
    <w:abstractNumId w:val="0"/>
  </w:num>
  <w:num w:numId="16" w16cid:durableId="616988381">
    <w:abstractNumId w:val="9"/>
  </w:num>
  <w:num w:numId="17" w16cid:durableId="484736770">
    <w:abstractNumId w:val="16"/>
  </w:num>
  <w:num w:numId="18" w16cid:durableId="1199777439">
    <w:abstractNumId w:val="12"/>
  </w:num>
  <w:num w:numId="19" w16cid:durableId="2072924847">
    <w:abstractNumId w:val="5"/>
  </w:num>
  <w:num w:numId="20" w16cid:durableId="459879418">
    <w:abstractNumId w:val="8"/>
  </w:num>
  <w:num w:numId="21" w16cid:durableId="96608011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057"/>
    <w:rsid w:val="0003720F"/>
    <w:rsid w:val="000406BE"/>
    <w:rsid w:val="000815D4"/>
    <w:rsid w:val="00092516"/>
    <w:rsid w:val="0009618C"/>
    <w:rsid w:val="000A1C90"/>
    <w:rsid w:val="000F3D67"/>
    <w:rsid w:val="00100992"/>
    <w:rsid w:val="00140882"/>
    <w:rsid w:val="0014366A"/>
    <w:rsid w:val="001572B9"/>
    <w:rsid w:val="0016593B"/>
    <w:rsid w:val="0017305E"/>
    <w:rsid w:val="001A2A44"/>
    <w:rsid w:val="001A7FED"/>
    <w:rsid w:val="001D0625"/>
    <w:rsid w:val="00205039"/>
    <w:rsid w:val="00205128"/>
    <w:rsid w:val="00220DCD"/>
    <w:rsid w:val="00282AD5"/>
    <w:rsid w:val="0028556A"/>
    <w:rsid w:val="00297021"/>
    <w:rsid w:val="002A0180"/>
    <w:rsid w:val="002C5716"/>
    <w:rsid w:val="002F5470"/>
    <w:rsid w:val="003265BA"/>
    <w:rsid w:val="00335D67"/>
    <w:rsid w:val="003A4E54"/>
    <w:rsid w:val="003F54B2"/>
    <w:rsid w:val="00417721"/>
    <w:rsid w:val="00456057"/>
    <w:rsid w:val="004C2F0D"/>
    <w:rsid w:val="0054698C"/>
    <w:rsid w:val="005649CF"/>
    <w:rsid w:val="0057200B"/>
    <w:rsid w:val="00596618"/>
    <w:rsid w:val="005B001F"/>
    <w:rsid w:val="005E0034"/>
    <w:rsid w:val="0061688D"/>
    <w:rsid w:val="0063334D"/>
    <w:rsid w:val="00637C74"/>
    <w:rsid w:val="00641286"/>
    <w:rsid w:val="00642A21"/>
    <w:rsid w:val="006476C1"/>
    <w:rsid w:val="00662D9A"/>
    <w:rsid w:val="00667D9C"/>
    <w:rsid w:val="00674E44"/>
    <w:rsid w:val="007303E2"/>
    <w:rsid w:val="00771E12"/>
    <w:rsid w:val="007C10C5"/>
    <w:rsid w:val="007C3489"/>
    <w:rsid w:val="007C3FD0"/>
    <w:rsid w:val="007E1D43"/>
    <w:rsid w:val="007F7384"/>
    <w:rsid w:val="00862674"/>
    <w:rsid w:val="00870A0A"/>
    <w:rsid w:val="00883287"/>
    <w:rsid w:val="008C28FD"/>
    <w:rsid w:val="008C3BEB"/>
    <w:rsid w:val="00953E99"/>
    <w:rsid w:val="0097209A"/>
    <w:rsid w:val="00984C94"/>
    <w:rsid w:val="009A20B2"/>
    <w:rsid w:val="009D5679"/>
    <w:rsid w:val="009D5E11"/>
    <w:rsid w:val="00A20D06"/>
    <w:rsid w:val="00A362DD"/>
    <w:rsid w:val="00A42D81"/>
    <w:rsid w:val="00A44D4B"/>
    <w:rsid w:val="00A47CE2"/>
    <w:rsid w:val="00A5263E"/>
    <w:rsid w:val="00A7453D"/>
    <w:rsid w:val="00A76E53"/>
    <w:rsid w:val="00AA12DE"/>
    <w:rsid w:val="00AD0DA2"/>
    <w:rsid w:val="00AE181B"/>
    <w:rsid w:val="00B24E12"/>
    <w:rsid w:val="00B8317F"/>
    <w:rsid w:val="00BB15CB"/>
    <w:rsid w:val="00BD3BF1"/>
    <w:rsid w:val="00BF68DC"/>
    <w:rsid w:val="00C316DE"/>
    <w:rsid w:val="00C3699C"/>
    <w:rsid w:val="00C37580"/>
    <w:rsid w:val="00C7537B"/>
    <w:rsid w:val="00CD352C"/>
    <w:rsid w:val="00CD7F88"/>
    <w:rsid w:val="00CF1EDA"/>
    <w:rsid w:val="00CF33F1"/>
    <w:rsid w:val="00CF3DFA"/>
    <w:rsid w:val="00CF58E0"/>
    <w:rsid w:val="00D124BF"/>
    <w:rsid w:val="00D502E6"/>
    <w:rsid w:val="00D72D2F"/>
    <w:rsid w:val="00D7403D"/>
    <w:rsid w:val="00DD04EB"/>
    <w:rsid w:val="00DF45C7"/>
    <w:rsid w:val="00E01AFC"/>
    <w:rsid w:val="00E80C76"/>
    <w:rsid w:val="00E8516D"/>
    <w:rsid w:val="00EB275D"/>
    <w:rsid w:val="00ED3C68"/>
    <w:rsid w:val="00EE3ECC"/>
    <w:rsid w:val="00F064CA"/>
    <w:rsid w:val="00F2402A"/>
    <w:rsid w:val="00F24FAF"/>
    <w:rsid w:val="00F606E9"/>
    <w:rsid w:val="00F60778"/>
    <w:rsid w:val="00F668A8"/>
    <w:rsid w:val="00F87043"/>
    <w:rsid w:val="00F95A4A"/>
    <w:rsid w:val="00FC3E48"/>
    <w:rsid w:val="00FD086F"/>
    <w:rsid w:val="00FE2E3A"/>
    <w:rsid w:val="00FE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748F90"/>
  <w15:docId w15:val="{8F269B02-6ED0-4535-924F-7D225B71E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057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60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6057"/>
  </w:style>
  <w:style w:type="paragraph" w:styleId="Footer">
    <w:name w:val="footer"/>
    <w:basedOn w:val="Normal"/>
    <w:link w:val="FooterChar"/>
    <w:uiPriority w:val="99"/>
    <w:unhideWhenUsed/>
    <w:rsid w:val="004560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6057"/>
  </w:style>
  <w:style w:type="paragraph" w:styleId="NormalWeb">
    <w:name w:val="Normal (Web)"/>
    <w:basedOn w:val="Normal"/>
    <w:uiPriority w:val="99"/>
    <w:semiHidden/>
    <w:unhideWhenUsed/>
    <w:rsid w:val="00ED3C6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D3C68"/>
    <w:rPr>
      <w:b/>
      <w:bCs/>
    </w:rPr>
  </w:style>
  <w:style w:type="paragraph" w:styleId="ListParagraph">
    <w:name w:val="List Paragraph"/>
    <w:basedOn w:val="Normal"/>
    <w:uiPriority w:val="34"/>
    <w:qFormat/>
    <w:rsid w:val="00A76E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275D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EB27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B275D"/>
    <w:rPr>
      <w:rFonts w:ascii="Calibri" w:hAnsi="Calibri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0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00B"/>
    <w:rPr>
      <w:rFonts w:ascii="Tahoma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39"/>
    <w:rsid w:val="00572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7200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00B"/>
    <w:rPr>
      <w:rFonts w:ascii="Calibri" w:hAnsi="Calibri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7200B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DD04E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C348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34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3489"/>
    <w:rPr>
      <w:rFonts w:ascii="Calibri" w:hAnsi="Calibri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nssg.diabetesprogramme@nhs.ne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ice.org.uk/guidance/ng28/chapter/Recommendation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ngland.nhs.uk/diabetes/diabetes-prevention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6888BBDB911F458A056E383346D5EC" ma:contentTypeVersion="12" ma:contentTypeDescription="Create a new document." ma:contentTypeScope="" ma:versionID="c7f8dab3d3012b5f0217df4917aff71f">
  <xsd:schema xmlns:xsd="http://www.w3.org/2001/XMLSchema" xmlns:xs="http://www.w3.org/2001/XMLSchema" xmlns:p="http://schemas.microsoft.com/office/2006/metadata/properties" xmlns:ns2="041be980-2ab5-491a-9b17-8d5f976f294b" xmlns:ns3="01b12580-cb8c-4e2a-ac7b-d5527bf240d9" targetNamespace="http://schemas.microsoft.com/office/2006/metadata/properties" ma:root="true" ma:fieldsID="904c75e1c0db26157281195607a46318" ns2:_="" ns3:_="">
    <xsd:import namespace="041be980-2ab5-491a-9b17-8d5f976f294b"/>
    <xsd:import namespace="01b12580-cb8c-4e2a-ac7b-d5527bf240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1be980-2ab5-491a-9b17-8d5f976f29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12580-cb8c-4e2a-ac7b-d5527bf240d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B1C3AC-FBCB-423F-BCF7-2C9DC039E9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98E7F6-784B-48A9-9925-9A66535134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1be980-2ab5-491a-9b17-8d5f976f294b"/>
    <ds:schemaRef ds:uri="01b12580-cb8c-4e2a-ac7b-d5527bf240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161F21-4A96-4174-89E1-0D68088343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D485C61-6324-45D8-B185-1CFCDB7B1A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1343</Words>
  <Characters>7657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Clare Cook</dc:creator>
  <cp:lastModifiedBy>JOHNSON, Pip (NHS BRISTOL, NORTH SOMERSET AND SOUTH GLOUCESTERSHIRE ICB - 15C)</cp:lastModifiedBy>
  <cp:revision>3</cp:revision>
  <dcterms:created xsi:type="dcterms:W3CDTF">2022-08-11T11:18:00Z</dcterms:created>
  <dcterms:modified xsi:type="dcterms:W3CDTF">2022-08-11T11:21:00Z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0x010100106888BBDB911F458A056E383346D5EC</vt:lpwstr>
  </property>
</Properties>
</file>