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3572" w14:textId="4FB53B7B" w:rsidR="001722B9" w:rsidRPr="000F1288" w:rsidRDefault="00695012" w:rsidP="00D02B21">
      <w:pPr>
        <w:pStyle w:val="Heading1"/>
        <w:spacing w:before="80" w:after="360"/>
        <w:ind w:right="656"/>
      </w:pPr>
      <w:r>
        <w:t xml:space="preserve"> </w:t>
      </w:r>
      <w:r w:rsidR="00523ABE">
        <w:t>Remuneration</w:t>
      </w:r>
      <w:r w:rsidR="0056387F" w:rsidRPr="000F1288">
        <w:t xml:space="preserve"> Committee Terms of Reference</w:t>
      </w:r>
    </w:p>
    <w:p w14:paraId="29E82F35" w14:textId="19FA51BC" w:rsidR="001722B9" w:rsidRDefault="001722B9" w:rsidP="00D02B21">
      <w:pPr>
        <w:pStyle w:val="Heading2"/>
        <w:spacing w:before="720"/>
      </w:pPr>
      <w:r w:rsidRPr="004C2E8B">
        <w:t>Introduction</w:t>
      </w:r>
    </w:p>
    <w:p w14:paraId="331E5AEF" w14:textId="005C4C70" w:rsidR="00523ABE" w:rsidRDefault="00523ABE" w:rsidP="00523ABE">
      <w:pPr>
        <w:rPr>
          <w:b/>
          <w:bCs/>
        </w:rPr>
      </w:pPr>
      <w:r>
        <w:rPr>
          <w:b/>
          <w:bCs/>
        </w:rPr>
        <w:t xml:space="preserve">Constitution: </w:t>
      </w:r>
    </w:p>
    <w:p w14:paraId="21E2942B" w14:textId="040373D0" w:rsidR="00523ABE" w:rsidRDefault="00523ABE" w:rsidP="005C14D7">
      <w:pPr>
        <w:spacing w:line="240" w:lineRule="auto"/>
        <w:rPr>
          <w:rFonts w:ascii="Arial" w:hAnsi="Arial" w:cs="Arial"/>
        </w:rPr>
      </w:pPr>
      <w:r w:rsidRPr="004B5897">
        <w:rPr>
          <w:rFonts w:ascii="Arial" w:hAnsi="Arial" w:cs="Arial"/>
          <w:color w:val="000000" w:themeColor="text1"/>
        </w:rPr>
        <w:t xml:space="preserve">The Remuneration Committee (the Committee) </w:t>
      </w:r>
      <w:r w:rsidRPr="004B5897">
        <w:rPr>
          <w:rFonts w:ascii="Arial" w:hAnsi="Arial" w:cs="Arial"/>
        </w:rPr>
        <w:t>is established by the Integrated Care Board (the Board or ICB) as a Committee of the Board in accordance with its Constitution.</w:t>
      </w:r>
    </w:p>
    <w:p w14:paraId="137E97E1" w14:textId="77777777" w:rsidR="005C14D7" w:rsidRPr="004B5897" w:rsidRDefault="005C14D7" w:rsidP="005C14D7">
      <w:pPr>
        <w:spacing w:line="240" w:lineRule="auto"/>
        <w:rPr>
          <w:rFonts w:ascii="Arial" w:hAnsi="Arial" w:cs="Arial"/>
        </w:rPr>
      </w:pPr>
    </w:p>
    <w:p w14:paraId="0C5B04C0" w14:textId="7A9557BE" w:rsidR="00523ABE" w:rsidRDefault="00523ABE" w:rsidP="005C14D7">
      <w:pPr>
        <w:autoSpaceDE w:val="0"/>
        <w:autoSpaceDN w:val="0"/>
        <w:adjustRightInd w:val="0"/>
        <w:spacing w:line="240" w:lineRule="auto"/>
        <w:rPr>
          <w:rFonts w:ascii="Arial" w:hAnsi="Arial" w:cs="Arial"/>
        </w:rPr>
      </w:pPr>
      <w:r w:rsidRPr="004B5897">
        <w:rPr>
          <w:rFonts w:ascii="Arial" w:hAnsi="Arial" w:cs="Arial"/>
        </w:rPr>
        <w:t xml:space="preserve">These terms of reference, which must be published on the ICB website, set out the membership, the remit, </w:t>
      </w:r>
      <w:proofErr w:type="gramStart"/>
      <w:r w:rsidRPr="004B5897">
        <w:rPr>
          <w:rFonts w:ascii="Arial" w:hAnsi="Arial" w:cs="Arial"/>
        </w:rPr>
        <w:t>responsibilities</w:t>
      </w:r>
      <w:proofErr w:type="gramEnd"/>
      <w:r w:rsidRPr="004B5897">
        <w:rPr>
          <w:rFonts w:ascii="Arial" w:hAnsi="Arial" w:cs="Arial"/>
        </w:rPr>
        <w:t xml:space="preserve"> and reporting arrangements of the Committee and may only be changed with the approval of the Board. </w:t>
      </w:r>
    </w:p>
    <w:p w14:paraId="4E541F64" w14:textId="77777777" w:rsidR="005C14D7" w:rsidRPr="004B5897" w:rsidRDefault="005C14D7" w:rsidP="005C14D7">
      <w:pPr>
        <w:autoSpaceDE w:val="0"/>
        <w:autoSpaceDN w:val="0"/>
        <w:adjustRightInd w:val="0"/>
        <w:spacing w:line="240" w:lineRule="auto"/>
        <w:rPr>
          <w:rFonts w:ascii="Arial" w:hAnsi="Arial" w:cs="Arial"/>
        </w:rPr>
      </w:pPr>
    </w:p>
    <w:p w14:paraId="1AD1E609" w14:textId="2C258BCF" w:rsidR="00523ABE" w:rsidRDefault="00523ABE" w:rsidP="005C14D7">
      <w:pPr>
        <w:autoSpaceDE w:val="0"/>
        <w:autoSpaceDN w:val="0"/>
        <w:adjustRightInd w:val="0"/>
        <w:spacing w:line="240" w:lineRule="auto"/>
        <w:rPr>
          <w:rFonts w:ascii="Arial" w:hAnsi="Arial" w:cs="Arial"/>
        </w:rPr>
      </w:pPr>
      <w:r w:rsidRPr="004B5897">
        <w:rPr>
          <w:rFonts w:ascii="Arial" w:hAnsi="Arial" w:cs="Arial"/>
        </w:rPr>
        <w:t>The Committee is a non-executive committee of the Board and its members, including those who are not members of the Board, are bound by the Standing Orders and other policies of the ICB.</w:t>
      </w:r>
    </w:p>
    <w:p w14:paraId="37713E6C" w14:textId="0E7484E3" w:rsidR="005C14D7" w:rsidRDefault="005C14D7" w:rsidP="005C14D7">
      <w:pPr>
        <w:autoSpaceDE w:val="0"/>
        <w:autoSpaceDN w:val="0"/>
        <w:adjustRightInd w:val="0"/>
        <w:spacing w:line="240" w:lineRule="auto"/>
        <w:rPr>
          <w:rFonts w:ascii="Arial" w:hAnsi="Arial" w:cs="Arial"/>
        </w:rPr>
      </w:pPr>
    </w:p>
    <w:p w14:paraId="271AAF2A" w14:textId="055CA838" w:rsidR="005C14D7" w:rsidRDefault="005C14D7" w:rsidP="005C14D7">
      <w:pPr>
        <w:autoSpaceDE w:val="0"/>
        <w:autoSpaceDN w:val="0"/>
        <w:adjustRightInd w:val="0"/>
        <w:spacing w:line="240" w:lineRule="auto"/>
        <w:rPr>
          <w:rFonts w:ascii="Arial" w:hAnsi="Arial" w:cs="Arial"/>
          <w:b/>
          <w:bCs/>
        </w:rPr>
      </w:pPr>
      <w:r>
        <w:rPr>
          <w:rFonts w:ascii="Arial" w:hAnsi="Arial" w:cs="Arial"/>
          <w:b/>
          <w:bCs/>
        </w:rPr>
        <w:t>Purpose:</w:t>
      </w:r>
    </w:p>
    <w:p w14:paraId="0BB96DED" w14:textId="77777777" w:rsidR="00B863FA" w:rsidRPr="009664D4" w:rsidRDefault="00B863FA" w:rsidP="00B863FA">
      <w:pPr>
        <w:spacing w:line="240" w:lineRule="auto"/>
        <w:jc w:val="both"/>
        <w:rPr>
          <w:rFonts w:ascii="Arial" w:hAnsi="Arial" w:cs="Arial"/>
          <w:szCs w:val="24"/>
        </w:rPr>
      </w:pPr>
      <w:r w:rsidRPr="009664D4">
        <w:rPr>
          <w:rFonts w:ascii="Arial" w:hAnsi="Arial" w:cs="Arial"/>
          <w:szCs w:val="24"/>
        </w:rPr>
        <w:t>The aims of the ICB are to:</w:t>
      </w:r>
    </w:p>
    <w:p w14:paraId="63BAD884" w14:textId="77777777" w:rsidR="00B863FA" w:rsidRPr="009664D4" w:rsidRDefault="00B863FA" w:rsidP="00B863FA">
      <w:pPr>
        <w:pStyle w:val="ListParagraph"/>
        <w:numPr>
          <w:ilvl w:val="0"/>
          <w:numId w:val="14"/>
        </w:numPr>
        <w:spacing w:line="240" w:lineRule="auto"/>
        <w:jc w:val="both"/>
        <w:rPr>
          <w:rFonts w:ascii="Arial" w:hAnsi="Arial" w:cs="Arial"/>
          <w:szCs w:val="24"/>
        </w:rPr>
      </w:pPr>
      <w:r w:rsidRPr="009664D4">
        <w:rPr>
          <w:rFonts w:ascii="Arial" w:hAnsi="Arial" w:cs="Arial"/>
          <w:szCs w:val="24"/>
        </w:rPr>
        <w:t>improve outcomes in population health and healthcare</w:t>
      </w:r>
    </w:p>
    <w:p w14:paraId="12111B5E" w14:textId="77777777" w:rsidR="00B863FA" w:rsidRPr="009664D4" w:rsidRDefault="00B863FA" w:rsidP="00B863FA">
      <w:pPr>
        <w:pStyle w:val="ListParagraph"/>
        <w:numPr>
          <w:ilvl w:val="0"/>
          <w:numId w:val="14"/>
        </w:numPr>
        <w:spacing w:line="240" w:lineRule="auto"/>
        <w:jc w:val="both"/>
        <w:rPr>
          <w:rFonts w:ascii="Arial" w:hAnsi="Arial" w:cs="Arial"/>
          <w:szCs w:val="24"/>
        </w:rPr>
      </w:pPr>
      <w:r w:rsidRPr="009664D4">
        <w:rPr>
          <w:rFonts w:ascii="Arial" w:hAnsi="Arial" w:cs="Arial"/>
          <w:szCs w:val="24"/>
        </w:rPr>
        <w:t xml:space="preserve">tackle inequalities in outcomes, </w:t>
      </w:r>
      <w:proofErr w:type="gramStart"/>
      <w:r w:rsidRPr="009664D4">
        <w:rPr>
          <w:rFonts w:ascii="Arial" w:hAnsi="Arial" w:cs="Arial"/>
          <w:szCs w:val="24"/>
        </w:rPr>
        <w:t>experience</w:t>
      </w:r>
      <w:proofErr w:type="gramEnd"/>
      <w:r w:rsidRPr="009664D4">
        <w:rPr>
          <w:rFonts w:ascii="Arial" w:hAnsi="Arial" w:cs="Arial"/>
          <w:szCs w:val="24"/>
        </w:rPr>
        <w:t xml:space="preserve"> and access</w:t>
      </w:r>
    </w:p>
    <w:p w14:paraId="3553AFB4" w14:textId="77777777" w:rsidR="00B863FA" w:rsidRPr="009664D4" w:rsidRDefault="00B863FA" w:rsidP="00B863FA">
      <w:pPr>
        <w:pStyle w:val="ListParagraph"/>
        <w:numPr>
          <w:ilvl w:val="0"/>
          <w:numId w:val="14"/>
        </w:numPr>
        <w:spacing w:line="240" w:lineRule="auto"/>
        <w:jc w:val="both"/>
        <w:rPr>
          <w:rFonts w:ascii="Arial" w:hAnsi="Arial" w:cs="Arial"/>
          <w:szCs w:val="24"/>
        </w:rPr>
      </w:pPr>
      <w:r w:rsidRPr="009664D4">
        <w:rPr>
          <w:rFonts w:ascii="Arial" w:hAnsi="Arial" w:cs="Arial"/>
          <w:szCs w:val="24"/>
        </w:rPr>
        <w:t>enhance productivity and value for money</w:t>
      </w:r>
    </w:p>
    <w:p w14:paraId="66885BF6" w14:textId="77777777" w:rsidR="00B863FA" w:rsidRPr="009664D4" w:rsidRDefault="00B863FA" w:rsidP="00B863FA">
      <w:pPr>
        <w:pStyle w:val="ListParagraph"/>
        <w:numPr>
          <w:ilvl w:val="0"/>
          <w:numId w:val="14"/>
        </w:numPr>
        <w:spacing w:line="240" w:lineRule="auto"/>
        <w:jc w:val="both"/>
        <w:rPr>
          <w:rFonts w:ascii="Arial" w:hAnsi="Arial" w:cs="Arial"/>
          <w:szCs w:val="24"/>
        </w:rPr>
      </w:pPr>
      <w:r w:rsidRPr="009664D4">
        <w:rPr>
          <w:rFonts w:ascii="Arial" w:hAnsi="Arial" w:cs="Arial"/>
          <w:szCs w:val="24"/>
        </w:rPr>
        <w:t>help the NHS support broader social and economic development.</w:t>
      </w:r>
    </w:p>
    <w:p w14:paraId="4EAE31CD" w14:textId="77777777" w:rsidR="00B863FA" w:rsidRDefault="00B863FA" w:rsidP="005C14D7">
      <w:pPr>
        <w:autoSpaceDE w:val="0"/>
        <w:autoSpaceDN w:val="0"/>
        <w:adjustRightInd w:val="0"/>
        <w:spacing w:line="240" w:lineRule="auto"/>
        <w:rPr>
          <w:rFonts w:ascii="Arial" w:hAnsi="Arial" w:cs="Arial"/>
          <w:b/>
          <w:bCs/>
        </w:rPr>
      </w:pPr>
    </w:p>
    <w:p w14:paraId="026A0C71" w14:textId="77777777" w:rsidR="005C14D7" w:rsidRPr="004B5897" w:rsidRDefault="005C14D7" w:rsidP="005C14D7">
      <w:pPr>
        <w:widowControl w:val="0"/>
        <w:autoSpaceDE w:val="0"/>
        <w:autoSpaceDN w:val="0"/>
        <w:spacing w:line="240" w:lineRule="auto"/>
        <w:ind w:right="856"/>
        <w:rPr>
          <w:rFonts w:ascii="Arial" w:hAnsi="Arial" w:cs="Arial"/>
          <w:color w:val="000000" w:themeColor="text1"/>
        </w:rPr>
      </w:pPr>
      <w:r w:rsidRPr="004B5897">
        <w:rPr>
          <w:rFonts w:ascii="Arial" w:hAnsi="Arial" w:cs="Arial"/>
          <w:color w:val="000000" w:themeColor="text1"/>
        </w:rPr>
        <w:t xml:space="preserve">The Committee’s main purpose is to exercise the functions of the ICB relating to paragraphs 17 to 19 of Schedule 1B to the </w:t>
      </w:r>
      <w:r w:rsidRPr="004B5897">
        <w:rPr>
          <w:rFonts w:ascii="Arial" w:hAnsi="Arial" w:cs="Arial"/>
        </w:rPr>
        <w:t>NHS Act 2006.  In summary:</w:t>
      </w:r>
    </w:p>
    <w:p w14:paraId="396BF29D" w14:textId="77777777" w:rsidR="005C14D7" w:rsidRPr="006F30A8" w:rsidRDefault="005C14D7" w:rsidP="005C14D7">
      <w:pPr>
        <w:pStyle w:val="ListParagraph"/>
        <w:widowControl w:val="0"/>
        <w:numPr>
          <w:ilvl w:val="0"/>
          <w:numId w:val="9"/>
        </w:numPr>
        <w:autoSpaceDE w:val="0"/>
        <w:autoSpaceDN w:val="0"/>
        <w:spacing w:line="240" w:lineRule="auto"/>
        <w:ind w:right="856"/>
        <w:rPr>
          <w:rFonts w:ascii="Arial" w:hAnsi="Arial" w:cs="Arial"/>
          <w:color w:val="000000" w:themeColor="text1"/>
        </w:rPr>
      </w:pPr>
      <w:r w:rsidRPr="006F30A8">
        <w:rPr>
          <w:rFonts w:ascii="Arial" w:hAnsi="Arial" w:cs="Arial"/>
          <w:color w:val="000000" w:themeColor="text1"/>
        </w:rPr>
        <w:t>Confirm the ICB Pay Policy including adoption of any pay frameworks for all employees including senior managers/directors (including board members) and non-executive directors.</w:t>
      </w:r>
    </w:p>
    <w:p w14:paraId="5108E21F" w14:textId="6F3B543C" w:rsidR="005C14D7" w:rsidRDefault="005C14D7" w:rsidP="00A57A65">
      <w:pPr>
        <w:pStyle w:val="Heading2"/>
        <w:spacing w:before="300"/>
      </w:pPr>
      <w:r>
        <w:t>Delegated Authority</w:t>
      </w:r>
    </w:p>
    <w:p w14:paraId="63AF9854" w14:textId="77777777" w:rsidR="005C14D7" w:rsidRPr="005C14D7" w:rsidRDefault="005C14D7" w:rsidP="005C14D7">
      <w:pPr>
        <w:pStyle w:val="NoSpacing"/>
        <w:spacing w:line="276" w:lineRule="auto"/>
        <w:rPr>
          <w:rFonts w:cs="Arial"/>
          <w:color w:val="000000" w:themeColor="text1"/>
          <w:szCs w:val="24"/>
        </w:rPr>
      </w:pPr>
      <w:r w:rsidRPr="005C14D7">
        <w:rPr>
          <w:rFonts w:cs="Arial"/>
          <w:color w:val="000000" w:themeColor="text1"/>
          <w:szCs w:val="24"/>
        </w:rPr>
        <w:t>The Remuneration Committee is authorised by the Board to:</w:t>
      </w:r>
    </w:p>
    <w:p w14:paraId="6273B025" w14:textId="77777777" w:rsidR="005C14D7" w:rsidRPr="005C14D7" w:rsidRDefault="005C14D7" w:rsidP="005C14D7">
      <w:pPr>
        <w:pStyle w:val="ListParagraph"/>
        <w:widowControl w:val="0"/>
        <w:numPr>
          <w:ilvl w:val="0"/>
          <w:numId w:val="8"/>
        </w:numPr>
        <w:tabs>
          <w:tab w:val="left" w:pos="1676"/>
        </w:tabs>
        <w:autoSpaceDE w:val="0"/>
        <w:autoSpaceDN w:val="0"/>
        <w:spacing w:before="203"/>
        <w:ind w:right="856"/>
        <w:rPr>
          <w:rFonts w:ascii="Arial" w:hAnsi="Arial" w:cs="Arial"/>
          <w:color w:val="000000" w:themeColor="text1"/>
          <w:szCs w:val="24"/>
        </w:rPr>
      </w:pPr>
      <w:r w:rsidRPr="005C14D7">
        <w:rPr>
          <w:rFonts w:ascii="Arial" w:hAnsi="Arial" w:cs="Arial"/>
          <w:color w:val="000000" w:themeColor="text1"/>
          <w:szCs w:val="24"/>
        </w:rPr>
        <w:t xml:space="preserve">Investigate any activity within its terms of </w:t>
      </w:r>
      <w:proofErr w:type="gramStart"/>
      <w:r w:rsidRPr="005C14D7">
        <w:rPr>
          <w:rFonts w:ascii="Arial" w:hAnsi="Arial" w:cs="Arial"/>
          <w:color w:val="000000" w:themeColor="text1"/>
          <w:szCs w:val="24"/>
        </w:rPr>
        <w:t>reference;</w:t>
      </w:r>
      <w:proofErr w:type="gramEnd"/>
      <w:r w:rsidRPr="005C14D7">
        <w:rPr>
          <w:rFonts w:ascii="Arial" w:hAnsi="Arial" w:cs="Arial"/>
          <w:color w:val="000000" w:themeColor="text1"/>
          <w:szCs w:val="24"/>
        </w:rPr>
        <w:t xml:space="preserve">  </w:t>
      </w:r>
    </w:p>
    <w:p w14:paraId="0B396F49" w14:textId="77777777" w:rsidR="005C14D7" w:rsidRPr="005C14D7" w:rsidRDefault="005C14D7" w:rsidP="005C14D7">
      <w:pPr>
        <w:pStyle w:val="ListParagraph"/>
        <w:widowControl w:val="0"/>
        <w:numPr>
          <w:ilvl w:val="0"/>
          <w:numId w:val="8"/>
        </w:numPr>
        <w:autoSpaceDE w:val="0"/>
        <w:autoSpaceDN w:val="0"/>
        <w:adjustRightInd w:val="0"/>
        <w:spacing w:after="200"/>
        <w:rPr>
          <w:rFonts w:ascii="Arial" w:hAnsi="Arial" w:cs="Arial"/>
          <w:szCs w:val="24"/>
        </w:rPr>
      </w:pPr>
      <w:r w:rsidRPr="005C14D7">
        <w:rPr>
          <w:rFonts w:ascii="Arial" w:hAnsi="Arial" w:cs="Arial"/>
          <w:szCs w:val="24"/>
        </w:rPr>
        <w:t xml:space="preserve">Seek any information it requires within its remit, from any employee or member of the ICB (who are directed to co-operate with any request made by the committee) within its remit as outlined in these terms of </w:t>
      </w:r>
      <w:proofErr w:type="gramStart"/>
      <w:r w:rsidRPr="005C14D7">
        <w:rPr>
          <w:rFonts w:ascii="Arial" w:hAnsi="Arial" w:cs="Arial"/>
          <w:szCs w:val="24"/>
        </w:rPr>
        <w:t>reference;</w:t>
      </w:r>
      <w:proofErr w:type="gramEnd"/>
    </w:p>
    <w:p w14:paraId="356EEFF4" w14:textId="77777777" w:rsidR="005C14D7" w:rsidRPr="005C14D7" w:rsidRDefault="005C14D7" w:rsidP="005C14D7">
      <w:pPr>
        <w:pStyle w:val="ListParagraph"/>
        <w:widowControl w:val="0"/>
        <w:numPr>
          <w:ilvl w:val="0"/>
          <w:numId w:val="8"/>
        </w:numPr>
        <w:autoSpaceDE w:val="0"/>
        <w:autoSpaceDN w:val="0"/>
        <w:adjustRightInd w:val="0"/>
        <w:spacing w:after="200"/>
        <w:rPr>
          <w:rFonts w:ascii="Arial" w:hAnsi="Arial" w:cs="Arial"/>
          <w:szCs w:val="24"/>
        </w:rPr>
      </w:pPr>
      <w:r w:rsidRPr="005C14D7">
        <w:rPr>
          <w:rFonts w:ascii="Arial" w:hAnsi="Arial" w:cs="Arial"/>
          <w:szCs w:val="24"/>
        </w:rPr>
        <w:t xml:space="preserve">Obtain legal or other independent professional advice and secure the attendance of advisors with relevant expertise if it considers this is necessary to fulfil its functions.  In doing so the committee must follow any procedures put in place by the ICB for obtaining legal or professional </w:t>
      </w:r>
      <w:proofErr w:type="gramStart"/>
      <w:r w:rsidRPr="005C14D7">
        <w:rPr>
          <w:rFonts w:ascii="Arial" w:hAnsi="Arial" w:cs="Arial"/>
          <w:szCs w:val="24"/>
        </w:rPr>
        <w:t>advice;</w:t>
      </w:r>
      <w:proofErr w:type="gramEnd"/>
    </w:p>
    <w:p w14:paraId="7BF83276" w14:textId="77777777" w:rsidR="005C14D7" w:rsidRPr="005C14D7" w:rsidRDefault="005C14D7" w:rsidP="005C14D7">
      <w:pPr>
        <w:pStyle w:val="ListParagraph"/>
        <w:widowControl w:val="0"/>
        <w:numPr>
          <w:ilvl w:val="0"/>
          <w:numId w:val="8"/>
        </w:numPr>
        <w:autoSpaceDE w:val="0"/>
        <w:autoSpaceDN w:val="0"/>
        <w:adjustRightInd w:val="0"/>
        <w:spacing w:after="200"/>
        <w:rPr>
          <w:rFonts w:ascii="Arial" w:hAnsi="Arial" w:cs="Arial"/>
          <w:color w:val="00B050"/>
          <w:szCs w:val="24"/>
        </w:rPr>
      </w:pPr>
      <w:r w:rsidRPr="005C14D7">
        <w:rPr>
          <w:rFonts w:ascii="Arial" w:hAnsi="Arial" w:cs="Arial"/>
          <w:szCs w:val="24"/>
        </w:rPr>
        <w:t xml:space="preserve">Create task and finish sub-groups </w:t>
      </w:r>
      <w:proofErr w:type="gramStart"/>
      <w:r w:rsidRPr="005C14D7">
        <w:rPr>
          <w:rFonts w:ascii="Arial" w:hAnsi="Arial" w:cs="Arial"/>
          <w:szCs w:val="24"/>
        </w:rPr>
        <w:t>in order to</w:t>
      </w:r>
      <w:proofErr w:type="gramEnd"/>
      <w:r w:rsidRPr="005C14D7">
        <w:rPr>
          <w:rFonts w:ascii="Arial" w:hAnsi="Arial" w:cs="Arial"/>
          <w:szCs w:val="24"/>
        </w:rPr>
        <w:t xml:space="preserve"> take forward specific programmes of work as considered necessary by the Committee’s members. The Committee shall determine the membership and terms of reference of any such task and finish sub-groups in accordance with the ICB’s constitution, standing orders and Scheme of Reservation and Delegation but </w:t>
      </w:r>
      <w:r w:rsidRPr="005C14D7">
        <w:rPr>
          <w:rFonts w:ascii="Arial" w:hAnsi="Arial" w:cs="Arial"/>
          <w:szCs w:val="24"/>
        </w:rPr>
        <w:lastRenderedPageBreak/>
        <w:t>may /not delegate any decisions to such groups.</w:t>
      </w:r>
    </w:p>
    <w:p w14:paraId="7BB4DC5D" w14:textId="77777777" w:rsidR="005C14D7" w:rsidRPr="005C14D7" w:rsidRDefault="005C14D7" w:rsidP="005C14D7">
      <w:pPr>
        <w:autoSpaceDE w:val="0"/>
        <w:autoSpaceDN w:val="0"/>
        <w:adjustRightInd w:val="0"/>
        <w:rPr>
          <w:rFonts w:ascii="Arial" w:hAnsi="Arial" w:cs="Arial"/>
          <w:szCs w:val="24"/>
        </w:rPr>
      </w:pPr>
      <w:r w:rsidRPr="005C14D7">
        <w:rPr>
          <w:rFonts w:ascii="Arial" w:hAnsi="Arial" w:cs="Arial"/>
          <w:szCs w:val="24"/>
        </w:rPr>
        <w:t>For the avoidance of doubt, in the event of any conflict, the ICB Standing Orders, Standing Financial Instructions and the Scheme of Reservation and Delegation will prevail over these terms of reference other than the committee being permitted to meet in private.</w:t>
      </w:r>
    </w:p>
    <w:p w14:paraId="4B67C118" w14:textId="3D49D7AA" w:rsidR="001722B9" w:rsidRDefault="001722B9" w:rsidP="00A57A65">
      <w:pPr>
        <w:pStyle w:val="Heading2"/>
        <w:spacing w:before="300"/>
      </w:pPr>
      <w:r w:rsidRPr="00715FB6">
        <w:t xml:space="preserve">Membership </w:t>
      </w:r>
    </w:p>
    <w:p w14:paraId="19C57F19" w14:textId="1A72F377" w:rsidR="008E5A52" w:rsidRDefault="008E5A52" w:rsidP="008E5A52">
      <w:pPr>
        <w:autoSpaceDE w:val="0"/>
        <w:autoSpaceDN w:val="0"/>
        <w:adjustRightInd w:val="0"/>
        <w:rPr>
          <w:rFonts w:ascii="Arial" w:hAnsi="Arial" w:cs="Arial"/>
        </w:rPr>
      </w:pPr>
      <w:r w:rsidRPr="004B5897">
        <w:rPr>
          <w:rFonts w:ascii="Arial" w:hAnsi="Arial" w:cs="Arial"/>
        </w:rPr>
        <w:t xml:space="preserve">The Committee members shall be appointed by the Board in accordance with the ICB Constitution. </w:t>
      </w:r>
    </w:p>
    <w:p w14:paraId="46F2E2E3" w14:textId="77777777" w:rsidR="008E5A52" w:rsidRDefault="008E5A52" w:rsidP="008E5A52">
      <w:pPr>
        <w:autoSpaceDE w:val="0"/>
        <w:autoSpaceDN w:val="0"/>
        <w:adjustRightInd w:val="0"/>
        <w:rPr>
          <w:rFonts w:ascii="Arial" w:hAnsi="Arial" w:cs="Arial"/>
        </w:rPr>
      </w:pPr>
    </w:p>
    <w:p w14:paraId="48A99542" w14:textId="5E356851" w:rsidR="008E5A52" w:rsidRDefault="008E5A52" w:rsidP="008E5A52">
      <w:pPr>
        <w:autoSpaceDE w:val="0"/>
        <w:autoSpaceDN w:val="0"/>
        <w:adjustRightInd w:val="0"/>
        <w:rPr>
          <w:rFonts w:ascii="Arial" w:eastAsia="Calibri" w:hAnsi="Arial" w:cs="Arial"/>
          <w:color w:val="000000" w:themeColor="text1"/>
        </w:rPr>
      </w:pPr>
      <w:r w:rsidRPr="006F30A8">
        <w:rPr>
          <w:rFonts w:ascii="Arial" w:hAnsi="Arial" w:cs="Arial"/>
        </w:rPr>
        <w:t xml:space="preserve">The Committee membership will be drawn from </w:t>
      </w:r>
      <w:proofErr w:type="gramStart"/>
      <w:r w:rsidRPr="006F30A8">
        <w:rPr>
          <w:rFonts w:ascii="Arial" w:hAnsi="Arial" w:cs="Arial"/>
        </w:rPr>
        <w:t>the  Non</w:t>
      </w:r>
      <w:proofErr w:type="gramEnd"/>
      <w:r w:rsidRPr="006F30A8">
        <w:rPr>
          <w:rFonts w:ascii="Arial" w:hAnsi="Arial" w:cs="Arial"/>
        </w:rPr>
        <w:t xml:space="preserve">-Executive Members and the Partner Members of the Board.  As a minimum and, </w:t>
      </w:r>
      <w:proofErr w:type="gramStart"/>
      <w:r w:rsidRPr="006F30A8">
        <w:rPr>
          <w:rFonts w:ascii="Arial" w:hAnsi="Arial" w:cs="Arial"/>
        </w:rPr>
        <w:t>with the exception of</w:t>
      </w:r>
      <w:proofErr w:type="gramEnd"/>
      <w:r w:rsidRPr="006F30A8">
        <w:rPr>
          <w:rFonts w:ascii="Arial" w:hAnsi="Arial" w:cs="Arial"/>
        </w:rPr>
        <w:t xml:space="preserve"> the Audit Chair as below, all Non-Executive Members will be appointed to the Committee. Four Partner Members will </w:t>
      </w:r>
      <w:r w:rsidRPr="006F30A8">
        <w:rPr>
          <w:rFonts w:ascii="Arial" w:eastAsia="Calibri" w:hAnsi="Arial" w:cs="Arial"/>
          <w:color w:val="000000" w:themeColor="text1"/>
        </w:rPr>
        <w:t xml:space="preserve">be appointed to the Committee so that </w:t>
      </w:r>
      <w:r w:rsidRPr="006F30A8">
        <w:rPr>
          <w:rFonts w:ascii="Arial" w:hAnsi="Arial" w:cs="Arial"/>
        </w:rPr>
        <w:t xml:space="preserve">Non-Executive Members may recluse themselves from decision making </w:t>
      </w:r>
      <w:proofErr w:type="gramStart"/>
      <w:r w:rsidRPr="006F30A8">
        <w:rPr>
          <w:rFonts w:ascii="Arial" w:hAnsi="Arial" w:cs="Arial"/>
        </w:rPr>
        <w:t>in the event that</w:t>
      </w:r>
      <w:proofErr w:type="gramEnd"/>
      <w:r w:rsidRPr="006F30A8">
        <w:rPr>
          <w:rFonts w:ascii="Arial" w:hAnsi="Arial" w:cs="Arial"/>
        </w:rPr>
        <w:t xml:space="preserve"> they are conflicted. When arranging Committee meetings, it will be made clear whether the business under discussion will require the attendance of the Partner Members (see Quor</w:t>
      </w:r>
      <w:r>
        <w:rPr>
          <w:rFonts w:ascii="Arial" w:hAnsi="Arial" w:cs="Arial"/>
        </w:rPr>
        <w:t>acy</w:t>
      </w:r>
      <w:r w:rsidRPr="006F30A8">
        <w:rPr>
          <w:rFonts w:ascii="Arial" w:hAnsi="Arial" w:cs="Arial"/>
        </w:rPr>
        <w:t xml:space="preserve"> below)</w:t>
      </w:r>
      <w:r>
        <w:rPr>
          <w:rFonts w:ascii="Arial" w:hAnsi="Arial" w:cs="Arial"/>
        </w:rPr>
        <w:t>:</w:t>
      </w:r>
    </w:p>
    <w:p w14:paraId="2CCFE124" w14:textId="77777777" w:rsidR="008E5A52" w:rsidRPr="00AD6FAE" w:rsidRDefault="008E5A52" w:rsidP="008E5A52">
      <w:pPr>
        <w:pStyle w:val="ListParagraph"/>
        <w:widowControl w:val="0"/>
        <w:numPr>
          <w:ilvl w:val="0"/>
          <w:numId w:val="9"/>
        </w:numPr>
        <w:autoSpaceDE w:val="0"/>
        <w:autoSpaceDN w:val="0"/>
        <w:adjustRightInd w:val="0"/>
        <w:spacing w:after="200"/>
        <w:rPr>
          <w:rFonts w:ascii="Arial" w:eastAsia="Calibri" w:hAnsi="Arial" w:cs="Arial"/>
          <w:color w:val="000000" w:themeColor="text1"/>
        </w:rPr>
      </w:pPr>
      <w:r w:rsidRPr="00AD6FAE">
        <w:rPr>
          <w:rFonts w:ascii="Arial" w:eastAsia="Calibri" w:hAnsi="Arial" w:cs="Arial"/>
          <w:color w:val="000000" w:themeColor="text1"/>
        </w:rPr>
        <w:t>The Chair of the Audit Committee may not be a member of the Remuneration Committee.</w:t>
      </w:r>
    </w:p>
    <w:p w14:paraId="3DFCE597" w14:textId="77777777" w:rsidR="008E5A52" w:rsidRPr="00AD6FAE" w:rsidRDefault="008E5A52" w:rsidP="008E5A52">
      <w:pPr>
        <w:pStyle w:val="ListParagraph"/>
        <w:widowControl w:val="0"/>
        <w:numPr>
          <w:ilvl w:val="0"/>
          <w:numId w:val="9"/>
        </w:numPr>
        <w:spacing w:before="240"/>
        <w:outlineLvl w:val="1"/>
        <w:rPr>
          <w:rFonts w:ascii="Arial" w:eastAsia="Calibri" w:hAnsi="Arial" w:cs="Arial"/>
          <w:color w:val="000000" w:themeColor="text1"/>
        </w:rPr>
      </w:pPr>
      <w:r w:rsidRPr="00AD6FAE">
        <w:rPr>
          <w:rFonts w:ascii="Arial" w:eastAsia="Calibri" w:hAnsi="Arial" w:cs="Arial"/>
          <w:color w:val="000000" w:themeColor="text1"/>
        </w:rPr>
        <w:t>The Chair of the Board may be a member of the Committee but may not be appointed as the Chair.</w:t>
      </w:r>
    </w:p>
    <w:p w14:paraId="2A009E95" w14:textId="7B4B8728" w:rsidR="008E5A52" w:rsidRDefault="008E5A52" w:rsidP="00DB6453">
      <w:pPr>
        <w:pStyle w:val="BodyText1"/>
      </w:pPr>
      <w:r w:rsidRPr="004B5897">
        <w:t>When determining the membership of the Committee, active consideration will be made to diversity and equality.</w:t>
      </w:r>
    </w:p>
    <w:p w14:paraId="1B8D150D" w14:textId="77777777" w:rsidR="008E5A52" w:rsidRDefault="008E5A52" w:rsidP="00DB6453">
      <w:pPr>
        <w:pStyle w:val="BodyText1"/>
      </w:pPr>
    </w:p>
    <w:p w14:paraId="344FD568" w14:textId="77777777" w:rsidR="008E5A52" w:rsidRPr="00DB6453" w:rsidRDefault="008E5A52" w:rsidP="00DB6453">
      <w:pPr>
        <w:pStyle w:val="BodyText1"/>
        <w:rPr>
          <w:b/>
          <w:bCs/>
        </w:rPr>
      </w:pPr>
      <w:r w:rsidRPr="00DB6453">
        <w:rPr>
          <w:b/>
          <w:bCs/>
        </w:rPr>
        <w:t>Chair and Vice Chair:</w:t>
      </w:r>
    </w:p>
    <w:p w14:paraId="5BAFD1E6" w14:textId="5FAD8B16" w:rsidR="00DB6453" w:rsidRPr="00DB6453" w:rsidRDefault="00DB6453" w:rsidP="00DB6453">
      <w:pPr>
        <w:rPr>
          <w:rFonts w:ascii="Arial" w:hAnsi="Arial" w:cs="Arial"/>
          <w:iCs/>
          <w:color w:val="000000" w:themeColor="text1"/>
        </w:rPr>
      </w:pPr>
      <w:r w:rsidRPr="00DB6453">
        <w:rPr>
          <w:rFonts w:ascii="Arial" w:hAnsi="Arial" w:cs="Arial"/>
          <w:iCs/>
          <w:color w:val="000000" w:themeColor="text1"/>
        </w:rPr>
        <w:t xml:space="preserve">In accordance with the </w:t>
      </w:r>
      <w:r>
        <w:rPr>
          <w:rFonts w:ascii="Arial" w:hAnsi="Arial" w:cs="Arial"/>
          <w:iCs/>
          <w:color w:val="000000" w:themeColor="text1"/>
        </w:rPr>
        <w:t>C</w:t>
      </w:r>
      <w:r w:rsidRPr="00DB6453">
        <w:rPr>
          <w:rFonts w:ascii="Arial" w:hAnsi="Arial" w:cs="Arial"/>
          <w:iCs/>
          <w:color w:val="000000" w:themeColor="text1"/>
        </w:rPr>
        <w:t xml:space="preserve">onstitution, the Committee will be chaired by a </w:t>
      </w:r>
      <w:r>
        <w:rPr>
          <w:rFonts w:ascii="Arial" w:hAnsi="Arial" w:cs="Arial"/>
          <w:iCs/>
          <w:color w:val="000000" w:themeColor="text1"/>
        </w:rPr>
        <w:t>N</w:t>
      </w:r>
      <w:r w:rsidRPr="00DB6453">
        <w:rPr>
          <w:rFonts w:ascii="Arial" w:hAnsi="Arial" w:cs="Arial"/>
          <w:iCs/>
          <w:color w:val="000000" w:themeColor="text1"/>
        </w:rPr>
        <w:t>on-</w:t>
      </w:r>
      <w:r>
        <w:rPr>
          <w:rFonts w:ascii="Arial" w:hAnsi="Arial" w:cs="Arial"/>
          <w:iCs/>
          <w:color w:val="000000" w:themeColor="text1"/>
        </w:rPr>
        <w:t>E</w:t>
      </w:r>
      <w:r w:rsidRPr="00DB6453">
        <w:rPr>
          <w:rFonts w:ascii="Arial" w:hAnsi="Arial" w:cs="Arial"/>
          <w:iCs/>
          <w:color w:val="000000" w:themeColor="text1"/>
        </w:rPr>
        <w:t xml:space="preserve">xecutive </w:t>
      </w:r>
      <w:r>
        <w:rPr>
          <w:rFonts w:ascii="Arial" w:hAnsi="Arial" w:cs="Arial"/>
          <w:iCs/>
          <w:color w:val="000000" w:themeColor="text1"/>
        </w:rPr>
        <w:t>M</w:t>
      </w:r>
      <w:r w:rsidRPr="00DB6453">
        <w:rPr>
          <w:rFonts w:ascii="Arial" w:hAnsi="Arial" w:cs="Arial"/>
          <w:iCs/>
          <w:color w:val="000000" w:themeColor="text1"/>
        </w:rPr>
        <w:t xml:space="preserve">ember of the Board appointed on account of their specific knowledge skills and experience making them suitable to chair the Committee. Committee members may appoint a Vice Chair from amongst the members. In the absence of the Chair, or Vice Chair, the remaining members present shall elect one of their number </w:t>
      </w:r>
      <w:r>
        <w:rPr>
          <w:rFonts w:ascii="Arial" w:hAnsi="Arial" w:cs="Arial"/>
          <w:iCs/>
          <w:color w:val="000000" w:themeColor="text1"/>
        </w:rPr>
        <w:t>to c</w:t>
      </w:r>
      <w:r w:rsidRPr="00DB6453">
        <w:rPr>
          <w:rFonts w:ascii="Arial" w:hAnsi="Arial" w:cs="Arial"/>
          <w:iCs/>
          <w:color w:val="000000" w:themeColor="text1"/>
        </w:rPr>
        <w:t>hair the meeting.</w:t>
      </w:r>
    </w:p>
    <w:p w14:paraId="031450E8" w14:textId="77777777" w:rsidR="00DB6453" w:rsidRPr="00DB6453" w:rsidRDefault="00DB6453" w:rsidP="00DB6453">
      <w:pPr>
        <w:rPr>
          <w:rFonts w:ascii="Arial" w:hAnsi="Arial" w:cs="Arial"/>
          <w:iCs/>
          <w:color w:val="000000" w:themeColor="text1"/>
        </w:rPr>
      </w:pPr>
    </w:p>
    <w:p w14:paraId="3D707A6C" w14:textId="77777777" w:rsidR="00DB6453" w:rsidRPr="00DB6453" w:rsidRDefault="00DB6453" w:rsidP="00DB6453">
      <w:pPr>
        <w:rPr>
          <w:rFonts w:ascii="Arial" w:hAnsi="Arial" w:cs="Arial"/>
          <w:iCs/>
          <w:color w:val="000000" w:themeColor="text1"/>
        </w:rPr>
      </w:pPr>
      <w:r w:rsidRPr="00DB6453">
        <w:rPr>
          <w:rFonts w:ascii="Arial" w:hAnsi="Arial" w:cs="Arial"/>
          <w:iCs/>
          <w:color w:val="000000" w:themeColor="text1"/>
        </w:rPr>
        <w:t xml:space="preserve">The Chair will be responsible for agreeing the agenda and ensuring matters discussed meet the objectives as set out in these </w:t>
      </w:r>
      <w:proofErr w:type="spellStart"/>
      <w:r w:rsidRPr="00DB6453">
        <w:rPr>
          <w:rFonts w:ascii="Arial" w:hAnsi="Arial" w:cs="Arial"/>
          <w:iCs/>
          <w:color w:val="000000" w:themeColor="text1"/>
        </w:rPr>
        <w:t>ToR</w:t>
      </w:r>
      <w:proofErr w:type="spellEnd"/>
      <w:r w:rsidRPr="00DB6453">
        <w:rPr>
          <w:rFonts w:ascii="Arial" w:hAnsi="Arial" w:cs="Arial"/>
          <w:iCs/>
          <w:color w:val="000000" w:themeColor="text1"/>
        </w:rPr>
        <w:t xml:space="preserve">.  </w:t>
      </w:r>
    </w:p>
    <w:p w14:paraId="1F15462C" w14:textId="7B4BA0E2" w:rsidR="00DB6453" w:rsidRPr="00DB6453" w:rsidRDefault="00DB6453" w:rsidP="00DB6453">
      <w:pPr>
        <w:rPr>
          <w:rFonts w:ascii="Arial" w:hAnsi="Arial" w:cs="Arial"/>
          <w:iCs/>
          <w:color w:val="000000" w:themeColor="text1"/>
        </w:rPr>
      </w:pPr>
    </w:p>
    <w:p w14:paraId="6AA883E8" w14:textId="77777777" w:rsidR="00137C7E" w:rsidRDefault="001722B9" w:rsidP="008E5A52">
      <w:pPr>
        <w:pStyle w:val="Heading2"/>
        <w:spacing w:before="0" w:line="240" w:lineRule="auto"/>
      </w:pPr>
      <w:r w:rsidRPr="00715FB6">
        <w:t xml:space="preserve">The members of the </w:t>
      </w:r>
      <w:r w:rsidR="00137C7E">
        <w:t>Remuneration Committee are:</w:t>
      </w:r>
    </w:p>
    <w:p w14:paraId="6667A270" w14:textId="5DD946BA" w:rsidR="001722B9" w:rsidRDefault="001722B9" w:rsidP="00137C7E">
      <w:pPr>
        <w:pStyle w:val="Heading2"/>
        <w:numPr>
          <w:ilvl w:val="0"/>
          <w:numId w:val="0"/>
        </w:numPr>
        <w:spacing w:before="0" w:line="240" w:lineRule="auto"/>
        <w:ind w:left="360"/>
      </w:pPr>
      <w:r w:rsidRPr="00715FB6">
        <w:t xml:space="preserve"> </w:t>
      </w:r>
    </w:p>
    <w:tbl>
      <w:tblPr>
        <w:tblStyle w:val="TableGrid"/>
        <w:tblW w:w="0" w:type="auto"/>
        <w:tblLook w:val="04A0" w:firstRow="1" w:lastRow="0" w:firstColumn="1" w:lastColumn="0" w:noHBand="0" w:noVBand="1"/>
      </w:tblPr>
      <w:tblGrid>
        <w:gridCol w:w="3485"/>
        <w:gridCol w:w="2747"/>
        <w:gridCol w:w="4224"/>
      </w:tblGrid>
      <w:tr w:rsidR="00137C7E" w14:paraId="5B7B786D" w14:textId="77777777" w:rsidTr="00137C7E">
        <w:tc>
          <w:tcPr>
            <w:tcW w:w="3485" w:type="dxa"/>
          </w:tcPr>
          <w:p w14:paraId="660354E3" w14:textId="1C3150FF" w:rsidR="00137C7E" w:rsidRPr="00392D94" w:rsidRDefault="00137C7E" w:rsidP="00DB6453">
            <w:pPr>
              <w:rPr>
                <w:b/>
                <w:bCs/>
              </w:rPr>
            </w:pPr>
            <w:r w:rsidRPr="00392D94">
              <w:rPr>
                <w:b/>
                <w:bCs/>
              </w:rPr>
              <w:t>Name:</w:t>
            </w:r>
          </w:p>
        </w:tc>
        <w:tc>
          <w:tcPr>
            <w:tcW w:w="2747" w:type="dxa"/>
          </w:tcPr>
          <w:p w14:paraId="28DC7D81" w14:textId="3A11EB52" w:rsidR="00137C7E" w:rsidRPr="00392D94" w:rsidRDefault="00137C7E" w:rsidP="00DB6453">
            <w:pPr>
              <w:rPr>
                <w:b/>
                <w:bCs/>
              </w:rPr>
            </w:pPr>
            <w:r w:rsidRPr="00392D94">
              <w:rPr>
                <w:b/>
                <w:bCs/>
              </w:rPr>
              <w:t>Organisation</w:t>
            </w:r>
          </w:p>
        </w:tc>
        <w:tc>
          <w:tcPr>
            <w:tcW w:w="4224" w:type="dxa"/>
          </w:tcPr>
          <w:p w14:paraId="2DC78D10" w14:textId="58DD9E4A" w:rsidR="00137C7E" w:rsidRPr="00392D94" w:rsidRDefault="00137C7E" w:rsidP="00DB6453">
            <w:pPr>
              <w:rPr>
                <w:b/>
                <w:bCs/>
              </w:rPr>
            </w:pPr>
            <w:r w:rsidRPr="00392D94">
              <w:rPr>
                <w:b/>
                <w:bCs/>
              </w:rPr>
              <w:t>BNSSG ICB Board Membership</w:t>
            </w:r>
          </w:p>
        </w:tc>
      </w:tr>
      <w:tr w:rsidR="00137C7E" w14:paraId="7A2A79ED" w14:textId="77777777" w:rsidTr="00137C7E">
        <w:tc>
          <w:tcPr>
            <w:tcW w:w="3485" w:type="dxa"/>
          </w:tcPr>
          <w:p w14:paraId="2AC7D0BB" w14:textId="4C2D5AFD" w:rsidR="00137C7E" w:rsidRDefault="00137C7E" w:rsidP="00DB6453">
            <w:r>
              <w:t>Ellen Donovan (Chair)</w:t>
            </w:r>
          </w:p>
        </w:tc>
        <w:tc>
          <w:tcPr>
            <w:tcW w:w="2747" w:type="dxa"/>
          </w:tcPr>
          <w:p w14:paraId="4E9F5553" w14:textId="68AEE142" w:rsidR="00137C7E" w:rsidRDefault="00137C7E" w:rsidP="00DB6453">
            <w:r>
              <w:t>N/A</w:t>
            </w:r>
          </w:p>
        </w:tc>
        <w:tc>
          <w:tcPr>
            <w:tcW w:w="4224" w:type="dxa"/>
          </w:tcPr>
          <w:p w14:paraId="51991E41" w14:textId="325A4263" w:rsidR="00137C7E" w:rsidRDefault="00137C7E" w:rsidP="00DB6453">
            <w:r>
              <w:t>BNSSG ICB Board Independent Non-Executive Member (INEM)</w:t>
            </w:r>
          </w:p>
        </w:tc>
      </w:tr>
      <w:tr w:rsidR="00137C7E" w14:paraId="419532DB" w14:textId="77777777" w:rsidTr="00137C7E">
        <w:tc>
          <w:tcPr>
            <w:tcW w:w="3485" w:type="dxa"/>
          </w:tcPr>
          <w:p w14:paraId="7A1FCDED" w14:textId="2196F9AE" w:rsidR="00137C7E" w:rsidRDefault="00137C7E" w:rsidP="00DB6453">
            <w:r>
              <w:t>Jaya Chakrabarti</w:t>
            </w:r>
          </w:p>
        </w:tc>
        <w:tc>
          <w:tcPr>
            <w:tcW w:w="2747" w:type="dxa"/>
          </w:tcPr>
          <w:p w14:paraId="312BF80E" w14:textId="7D8AC3E5" w:rsidR="00137C7E" w:rsidRDefault="00137C7E" w:rsidP="00DB6453">
            <w:r>
              <w:t>N/A</w:t>
            </w:r>
          </w:p>
        </w:tc>
        <w:tc>
          <w:tcPr>
            <w:tcW w:w="4224" w:type="dxa"/>
          </w:tcPr>
          <w:p w14:paraId="7ED80DC5" w14:textId="783C877B" w:rsidR="00137C7E" w:rsidRDefault="00137C7E" w:rsidP="00DB6453">
            <w:r>
              <w:t>BNSSG ICB Board INEM</w:t>
            </w:r>
          </w:p>
        </w:tc>
      </w:tr>
      <w:tr w:rsidR="00137C7E" w14:paraId="03C3176B" w14:textId="77777777" w:rsidTr="00137C7E">
        <w:tc>
          <w:tcPr>
            <w:tcW w:w="3485" w:type="dxa"/>
          </w:tcPr>
          <w:p w14:paraId="2E4DF058" w14:textId="733CDDD6" w:rsidR="00137C7E" w:rsidRDefault="00137C7E" w:rsidP="00DB6453">
            <w:r>
              <w:t>Alison Moon</w:t>
            </w:r>
          </w:p>
        </w:tc>
        <w:tc>
          <w:tcPr>
            <w:tcW w:w="2747" w:type="dxa"/>
          </w:tcPr>
          <w:p w14:paraId="7F0A213A" w14:textId="2369A59C" w:rsidR="00137C7E" w:rsidRDefault="00137C7E" w:rsidP="00DB6453">
            <w:r>
              <w:t>N/A</w:t>
            </w:r>
          </w:p>
        </w:tc>
        <w:tc>
          <w:tcPr>
            <w:tcW w:w="4224" w:type="dxa"/>
          </w:tcPr>
          <w:p w14:paraId="42A9B64A" w14:textId="6FA8F096" w:rsidR="00137C7E" w:rsidRDefault="00137C7E" w:rsidP="00DB6453">
            <w:r>
              <w:t>BNSSG ICB Board INEM</w:t>
            </w:r>
          </w:p>
        </w:tc>
      </w:tr>
      <w:tr w:rsidR="00137C7E" w14:paraId="0B8F28DF" w14:textId="77777777" w:rsidTr="00137C7E">
        <w:tc>
          <w:tcPr>
            <w:tcW w:w="3485" w:type="dxa"/>
          </w:tcPr>
          <w:p w14:paraId="79697D42" w14:textId="3A2BDF11" w:rsidR="00137C7E" w:rsidRDefault="00137C7E" w:rsidP="00DB6453">
            <w:r>
              <w:t>Steve West</w:t>
            </w:r>
          </w:p>
        </w:tc>
        <w:tc>
          <w:tcPr>
            <w:tcW w:w="2747" w:type="dxa"/>
          </w:tcPr>
          <w:p w14:paraId="5EF73546" w14:textId="4F20D6D8" w:rsidR="00137C7E" w:rsidRDefault="00137C7E" w:rsidP="00DB6453">
            <w:r>
              <w:t>N/A</w:t>
            </w:r>
          </w:p>
        </w:tc>
        <w:tc>
          <w:tcPr>
            <w:tcW w:w="4224" w:type="dxa"/>
          </w:tcPr>
          <w:p w14:paraId="4CC3B8A3" w14:textId="2E93F0A7" w:rsidR="00137C7E" w:rsidRDefault="00137C7E" w:rsidP="00DB6453">
            <w:r>
              <w:t>BNSSG ICB Board INEM</w:t>
            </w:r>
          </w:p>
        </w:tc>
      </w:tr>
      <w:tr w:rsidR="00137C7E" w14:paraId="33D1C526" w14:textId="77777777" w:rsidTr="00137C7E">
        <w:tc>
          <w:tcPr>
            <w:tcW w:w="3485" w:type="dxa"/>
          </w:tcPr>
          <w:p w14:paraId="411A6EEB" w14:textId="35212B84" w:rsidR="00137C7E" w:rsidRDefault="00137C7E" w:rsidP="00DB6453">
            <w:r>
              <w:t>Jeff Farrar</w:t>
            </w:r>
          </w:p>
        </w:tc>
        <w:tc>
          <w:tcPr>
            <w:tcW w:w="2747" w:type="dxa"/>
          </w:tcPr>
          <w:p w14:paraId="2E1E069D" w14:textId="6D544FE5" w:rsidR="00137C7E" w:rsidRDefault="00137C7E" w:rsidP="00DB6453">
            <w:r>
              <w:t>BNSSG ICB</w:t>
            </w:r>
          </w:p>
        </w:tc>
        <w:tc>
          <w:tcPr>
            <w:tcW w:w="4224" w:type="dxa"/>
          </w:tcPr>
          <w:p w14:paraId="50F07553" w14:textId="62E90FB6" w:rsidR="00137C7E" w:rsidRDefault="00137C7E" w:rsidP="00DB6453">
            <w:r>
              <w:t>Chair</w:t>
            </w:r>
          </w:p>
        </w:tc>
      </w:tr>
      <w:tr w:rsidR="00C3132B" w14:paraId="39BF0C2F" w14:textId="77777777" w:rsidTr="00137C7E">
        <w:tc>
          <w:tcPr>
            <w:tcW w:w="3485" w:type="dxa"/>
          </w:tcPr>
          <w:p w14:paraId="48C8AF19" w14:textId="1465FD42" w:rsidR="00C3132B" w:rsidRDefault="00C3132B" w:rsidP="00DB6453">
            <w:r>
              <w:t>Maria Kane</w:t>
            </w:r>
          </w:p>
        </w:tc>
        <w:tc>
          <w:tcPr>
            <w:tcW w:w="2747" w:type="dxa"/>
          </w:tcPr>
          <w:p w14:paraId="55F22301" w14:textId="67783462" w:rsidR="00C3132B" w:rsidRDefault="00C3132B" w:rsidP="00DB6453">
            <w:r>
              <w:t>North Bristol NHS Trust</w:t>
            </w:r>
          </w:p>
        </w:tc>
        <w:tc>
          <w:tcPr>
            <w:tcW w:w="4224" w:type="dxa"/>
          </w:tcPr>
          <w:p w14:paraId="4535BDCC" w14:textId="579E0C8A" w:rsidR="00C3132B" w:rsidRDefault="00C3132B" w:rsidP="00DB6453">
            <w:r>
              <w:t>Providing knowledge and perspective of Acute Tertiary Care Services</w:t>
            </w:r>
          </w:p>
        </w:tc>
      </w:tr>
      <w:tr w:rsidR="00C3132B" w14:paraId="5681108C" w14:textId="77777777" w:rsidTr="00137C7E">
        <w:tc>
          <w:tcPr>
            <w:tcW w:w="3485" w:type="dxa"/>
          </w:tcPr>
          <w:p w14:paraId="2EF142DB" w14:textId="4F2C853C" w:rsidR="00C3132B" w:rsidRDefault="00280538" w:rsidP="00DB6453">
            <w:r>
              <w:t>Dominic Hardisty</w:t>
            </w:r>
          </w:p>
        </w:tc>
        <w:tc>
          <w:tcPr>
            <w:tcW w:w="2747" w:type="dxa"/>
          </w:tcPr>
          <w:p w14:paraId="789EA518" w14:textId="0409DFE0" w:rsidR="00C3132B" w:rsidRDefault="00280538" w:rsidP="00DB6453">
            <w:r>
              <w:t>Avon and Wiltshire Mental Health Partnership Mental Health Trust</w:t>
            </w:r>
          </w:p>
        </w:tc>
        <w:tc>
          <w:tcPr>
            <w:tcW w:w="4224" w:type="dxa"/>
          </w:tcPr>
          <w:p w14:paraId="79308C3E" w14:textId="11548859" w:rsidR="00C3132B" w:rsidRDefault="00280538" w:rsidP="00DB6453">
            <w:r>
              <w:t>Providing knowledge and perspective of Acute and Community Mental Health Services.</w:t>
            </w:r>
          </w:p>
        </w:tc>
      </w:tr>
      <w:tr w:rsidR="00C3132B" w14:paraId="25708F95" w14:textId="77777777" w:rsidTr="00137C7E">
        <w:tc>
          <w:tcPr>
            <w:tcW w:w="3485" w:type="dxa"/>
          </w:tcPr>
          <w:p w14:paraId="33ED0D88" w14:textId="327335AA" w:rsidR="00C3132B" w:rsidRDefault="00695012" w:rsidP="00DB6453">
            <w:r>
              <w:lastRenderedPageBreak/>
              <w:t>Mike Jackson</w:t>
            </w:r>
          </w:p>
        </w:tc>
        <w:tc>
          <w:tcPr>
            <w:tcW w:w="2747" w:type="dxa"/>
          </w:tcPr>
          <w:p w14:paraId="282CE244" w14:textId="69DD97B5" w:rsidR="00C3132B" w:rsidRDefault="00695012" w:rsidP="00DB6453">
            <w:r>
              <w:t>Bristol City Council</w:t>
            </w:r>
          </w:p>
        </w:tc>
        <w:tc>
          <w:tcPr>
            <w:tcW w:w="4224" w:type="dxa"/>
          </w:tcPr>
          <w:p w14:paraId="5CF10598" w14:textId="5CC1C54B" w:rsidR="00C3132B" w:rsidRDefault="00695012" w:rsidP="00DB6453">
            <w:r>
              <w:t>Providing knowledge and perspective of Urban Communities</w:t>
            </w:r>
          </w:p>
        </w:tc>
      </w:tr>
      <w:tr w:rsidR="00C3132B" w14:paraId="13FC4D58" w14:textId="77777777" w:rsidTr="00137C7E">
        <w:tc>
          <w:tcPr>
            <w:tcW w:w="3485" w:type="dxa"/>
          </w:tcPr>
          <w:p w14:paraId="53F0ED54" w14:textId="323B7F08" w:rsidR="00C3132B" w:rsidRDefault="00695012" w:rsidP="00DB6453">
            <w:r>
              <w:t>Jonathan Hayes</w:t>
            </w:r>
            <w:r w:rsidR="00781199">
              <w:t>*</w:t>
            </w:r>
          </w:p>
        </w:tc>
        <w:tc>
          <w:tcPr>
            <w:tcW w:w="2747" w:type="dxa"/>
          </w:tcPr>
          <w:p w14:paraId="5CCD8A07" w14:textId="7A8476A3" w:rsidR="00C3132B" w:rsidRDefault="00695012" w:rsidP="00DB6453">
            <w:r>
              <w:t>GP Collaborative Board</w:t>
            </w:r>
          </w:p>
        </w:tc>
        <w:tc>
          <w:tcPr>
            <w:tcW w:w="4224" w:type="dxa"/>
          </w:tcPr>
          <w:p w14:paraId="54351891" w14:textId="380DD502" w:rsidR="00C3132B" w:rsidRDefault="00695012" w:rsidP="00DB6453">
            <w:r>
              <w:t>Providing knowledge and perspective of Primary Medical Services</w:t>
            </w:r>
          </w:p>
        </w:tc>
      </w:tr>
    </w:tbl>
    <w:p w14:paraId="53F1EA28" w14:textId="164ADC89" w:rsidR="00781199" w:rsidRPr="00DB6453" w:rsidRDefault="00781199" w:rsidP="00781199">
      <w:r>
        <w:t>* Subject to appointment on the ICB Board via the joint nomination process.</w:t>
      </w:r>
    </w:p>
    <w:p w14:paraId="30CF9208" w14:textId="5F625D5F" w:rsidR="001722B9" w:rsidRDefault="001722B9" w:rsidP="00891F15">
      <w:pPr>
        <w:pStyle w:val="Heading2"/>
        <w:spacing w:before="300"/>
      </w:pPr>
      <w:r w:rsidRPr="00715FB6">
        <w:t>In attendance (if required)</w:t>
      </w:r>
    </w:p>
    <w:p w14:paraId="636EDF72" w14:textId="0035E0FF" w:rsidR="00DB6453" w:rsidRPr="00DB6453" w:rsidRDefault="00DB6453" w:rsidP="00891F15">
      <w:pPr>
        <w:autoSpaceDE w:val="0"/>
        <w:autoSpaceDN w:val="0"/>
        <w:adjustRightInd w:val="0"/>
        <w:rPr>
          <w:rFonts w:ascii="Arial" w:hAnsi="Arial" w:cs="Arial"/>
          <w:b/>
          <w:bCs/>
          <w:iCs/>
          <w:color w:val="000000" w:themeColor="text1"/>
        </w:rPr>
      </w:pPr>
      <w:r w:rsidRPr="00DB6453">
        <w:rPr>
          <w:rFonts w:ascii="Arial" w:hAnsi="Arial" w:cs="Arial"/>
          <w:b/>
          <w:bCs/>
          <w:iCs/>
          <w:color w:val="000000" w:themeColor="text1"/>
        </w:rPr>
        <w:t>Attendees</w:t>
      </w:r>
      <w:r>
        <w:rPr>
          <w:rFonts w:ascii="Arial" w:hAnsi="Arial" w:cs="Arial"/>
          <w:b/>
          <w:bCs/>
          <w:iCs/>
          <w:color w:val="000000" w:themeColor="text1"/>
        </w:rPr>
        <w:t xml:space="preserve">: </w:t>
      </w:r>
    </w:p>
    <w:p w14:paraId="2F7F0656" w14:textId="2E0543D2" w:rsidR="00DB6453" w:rsidRDefault="00DB6453" w:rsidP="00891F15">
      <w:pPr>
        <w:autoSpaceDE w:val="0"/>
        <w:autoSpaceDN w:val="0"/>
        <w:adjustRightInd w:val="0"/>
        <w:rPr>
          <w:rFonts w:ascii="Arial" w:hAnsi="Arial" w:cs="Arial"/>
        </w:rPr>
      </w:pPr>
      <w:r w:rsidRPr="004B5897">
        <w:rPr>
          <w:rFonts w:ascii="Arial" w:hAnsi="Arial" w:cs="Arial"/>
        </w:rPr>
        <w:t>Only members of the Committee have the right to attend Committee meetings</w:t>
      </w:r>
      <w:r>
        <w:rPr>
          <w:rFonts w:ascii="Arial" w:hAnsi="Arial" w:cs="Arial"/>
        </w:rPr>
        <w:t>,</w:t>
      </w:r>
      <w:r w:rsidRPr="004B5897">
        <w:rPr>
          <w:rFonts w:ascii="Arial" w:hAnsi="Arial" w:cs="Arial"/>
        </w:rPr>
        <w:t xml:space="preserve"> but the Chair may invite relevant staff to the meeting as necessary in accordance with the business of the Committee.</w:t>
      </w:r>
    </w:p>
    <w:p w14:paraId="1B079713" w14:textId="77777777" w:rsidR="00DB6453" w:rsidRPr="004B5897" w:rsidRDefault="00DB6453" w:rsidP="00DB6453">
      <w:pPr>
        <w:autoSpaceDE w:val="0"/>
        <w:autoSpaceDN w:val="0"/>
        <w:adjustRightInd w:val="0"/>
        <w:rPr>
          <w:rFonts w:ascii="Arial" w:hAnsi="Arial" w:cs="Arial"/>
        </w:rPr>
      </w:pPr>
    </w:p>
    <w:p w14:paraId="3722D6A0" w14:textId="77777777" w:rsidR="00DB6453" w:rsidRPr="004B5897" w:rsidRDefault="00DB6453" w:rsidP="00DB6453">
      <w:pPr>
        <w:autoSpaceDE w:val="0"/>
        <w:autoSpaceDN w:val="0"/>
        <w:adjustRightInd w:val="0"/>
        <w:rPr>
          <w:rFonts w:ascii="Arial" w:hAnsi="Arial" w:cs="Arial"/>
        </w:rPr>
      </w:pPr>
      <w:r w:rsidRPr="004B5897">
        <w:rPr>
          <w:rFonts w:ascii="Arial" w:hAnsi="Arial" w:cs="Arial"/>
        </w:rPr>
        <w:t>Meetings of the Committee may also be attended by the following individuals who are not members of the Committee</w:t>
      </w:r>
      <w:r w:rsidRPr="004B5897">
        <w:rPr>
          <w:rFonts w:ascii="Arial" w:eastAsia="Calibri" w:hAnsi="Arial" w:cs="Arial"/>
          <w:color w:val="000000" w:themeColor="text1"/>
        </w:rPr>
        <w:t xml:space="preserve"> for all or part of a meeting as and when appropriate.  Such attendees will not be eligible to vote</w:t>
      </w:r>
      <w:r w:rsidRPr="004B5897">
        <w:rPr>
          <w:rFonts w:ascii="Arial" w:hAnsi="Arial" w:cs="Arial"/>
        </w:rPr>
        <w:t>:</w:t>
      </w:r>
    </w:p>
    <w:p w14:paraId="4E90999B" w14:textId="77777777" w:rsidR="00DB6453" w:rsidRPr="00EC1167" w:rsidRDefault="00DB6453" w:rsidP="00DB6453">
      <w:pPr>
        <w:pStyle w:val="ListParagraph"/>
        <w:widowControl w:val="0"/>
        <w:numPr>
          <w:ilvl w:val="1"/>
          <w:numId w:val="10"/>
        </w:numPr>
        <w:spacing w:before="240"/>
        <w:outlineLvl w:val="1"/>
        <w:rPr>
          <w:rFonts w:ascii="Arial" w:hAnsi="Arial" w:cs="Arial"/>
          <w:color w:val="000000" w:themeColor="text1"/>
        </w:rPr>
      </w:pPr>
      <w:r w:rsidRPr="00EC1167">
        <w:rPr>
          <w:rFonts w:ascii="Arial" w:hAnsi="Arial" w:cs="Arial"/>
          <w:color w:val="000000" w:themeColor="text1"/>
        </w:rPr>
        <w:t xml:space="preserve">The ICB’s most senior HR Advisor or their nominated deputy </w:t>
      </w:r>
    </w:p>
    <w:p w14:paraId="1C61B537" w14:textId="77777777" w:rsidR="00DB6453" w:rsidRPr="004B5897" w:rsidRDefault="00DB6453" w:rsidP="00DB6453">
      <w:pPr>
        <w:pStyle w:val="ListParagraph"/>
        <w:widowControl w:val="0"/>
        <w:numPr>
          <w:ilvl w:val="1"/>
          <w:numId w:val="10"/>
        </w:numPr>
        <w:spacing w:before="240"/>
        <w:outlineLvl w:val="1"/>
        <w:rPr>
          <w:rFonts w:ascii="Arial" w:hAnsi="Arial" w:cs="Arial"/>
        </w:rPr>
      </w:pPr>
      <w:r w:rsidRPr="004B5897">
        <w:rPr>
          <w:rFonts w:ascii="Arial" w:hAnsi="Arial" w:cs="Arial"/>
        </w:rPr>
        <w:t xml:space="preserve">Director of Finance or their nominated deputy </w:t>
      </w:r>
    </w:p>
    <w:p w14:paraId="6B71B3A7" w14:textId="77777777" w:rsidR="00DB6453" w:rsidRPr="00262129" w:rsidRDefault="00DB6453" w:rsidP="00DB6453">
      <w:pPr>
        <w:pStyle w:val="ListParagraph"/>
        <w:widowControl w:val="0"/>
        <w:numPr>
          <w:ilvl w:val="1"/>
          <w:numId w:val="10"/>
        </w:numPr>
        <w:spacing w:before="240"/>
        <w:outlineLvl w:val="1"/>
        <w:rPr>
          <w:rFonts w:ascii="Arial" w:eastAsia="Calibri" w:hAnsi="Arial" w:cs="Arial"/>
          <w:color w:val="000000" w:themeColor="text1"/>
        </w:rPr>
      </w:pPr>
      <w:r w:rsidRPr="004B5897">
        <w:rPr>
          <w:rFonts w:ascii="Arial" w:hAnsi="Arial" w:cs="Arial"/>
        </w:rPr>
        <w:t>Chief Executive or their nominated deputy</w:t>
      </w:r>
    </w:p>
    <w:p w14:paraId="0406021C" w14:textId="77777777" w:rsidR="00DB6453" w:rsidRDefault="00DB6453" w:rsidP="00891F15">
      <w:pPr>
        <w:spacing w:before="240"/>
        <w:outlineLvl w:val="1"/>
        <w:rPr>
          <w:rFonts w:ascii="Arial" w:eastAsia="Calibri" w:hAnsi="Arial" w:cs="Arial"/>
          <w:color w:val="000000" w:themeColor="text1"/>
        </w:rPr>
      </w:pPr>
      <w:r w:rsidRPr="00262129">
        <w:rPr>
          <w:rFonts w:ascii="Arial" w:hAnsi="Arial" w:cs="Arial"/>
        </w:rPr>
        <w:t xml:space="preserve">The Chair may ask any or all of those who normally attend, but who are not members, to withdraw to facilitate open and frank discussion of </w:t>
      </w:r>
      <w:proofErr w:type="gramStart"/>
      <w:r w:rsidRPr="00262129">
        <w:rPr>
          <w:rFonts w:ascii="Arial" w:hAnsi="Arial" w:cs="Arial"/>
        </w:rPr>
        <w:t>particular matters</w:t>
      </w:r>
      <w:proofErr w:type="gramEnd"/>
      <w:r w:rsidRPr="00262129">
        <w:rPr>
          <w:rFonts w:ascii="Arial" w:hAnsi="Arial" w:cs="Arial"/>
        </w:rPr>
        <w:t>.</w:t>
      </w:r>
    </w:p>
    <w:p w14:paraId="758BAA22" w14:textId="77777777" w:rsidR="00DB6453" w:rsidRPr="00262129" w:rsidRDefault="00DB6453" w:rsidP="00DB6453">
      <w:pPr>
        <w:spacing w:before="240"/>
        <w:outlineLvl w:val="1"/>
        <w:rPr>
          <w:rFonts w:ascii="Arial" w:eastAsia="Calibri" w:hAnsi="Arial" w:cs="Arial"/>
          <w:color w:val="000000" w:themeColor="text1"/>
        </w:rPr>
      </w:pPr>
      <w:r w:rsidRPr="004B5897">
        <w:rPr>
          <w:rFonts w:ascii="Arial" w:hAnsi="Arial" w:cs="Arial"/>
        </w:rPr>
        <w:t>No individual should be present during any discussion relating to:</w:t>
      </w:r>
    </w:p>
    <w:p w14:paraId="0A0AE2E0" w14:textId="77777777" w:rsidR="00DB6453" w:rsidRPr="004B5897" w:rsidRDefault="00DB6453" w:rsidP="00DB6453">
      <w:pPr>
        <w:pStyle w:val="ListParagraph"/>
        <w:widowControl w:val="0"/>
        <w:numPr>
          <w:ilvl w:val="1"/>
          <w:numId w:val="10"/>
        </w:numPr>
        <w:spacing w:before="240"/>
        <w:outlineLvl w:val="1"/>
        <w:rPr>
          <w:rFonts w:ascii="Arial" w:hAnsi="Arial" w:cs="Arial"/>
        </w:rPr>
      </w:pPr>
      <w:r>
        <w:rPr>
          <w:rFonts w:ascii="Arial" w:hAnsi="Arial" w:cs="Arial"/>
        </w:rPr>
        <w:t>A</w:t>
      </w:r>
      <w:r w:rsidRPr="004B5897">
        <w:rPr>
          <w:rFonts w:ascii="Arial" w:hAnsi="Arial" w:cs="Arial"/>
        </w:rPr>
        <w:t xml:space="preserve">ny aspect of their own </w:t>
      </w:r>
      <w:proofErr w:type="gramStart"/>
      <w:r w:rsidRPr="004B5897">
        <w:rPr>
          <w:rFonts w:ascii="Arial" w:hAnsi="Arial" w:cs="Arial"/>
        </w:rPr>
        <w:t>pay</w:t>
      </w:r>
      <w:r>
        <w:rPr>
          <w:rFonts w:ascii="Arial" w:hAnsi="Arial" w:cs="Arial"/>
        </w:rPr>
        <w:t>;</w:t>
      </w:r>
      <w:proofErr w:type="gramEnd"/>
    </w:p>
    <w:p w14:paraId="5EAE5D0D" w14:textId="3C9B48FD" w:rsidR="00DB6453" w:rsidRDefault="00DB6453" w:rsidP="00DB6453">
      <w:pPr>
        <w:pStyle w:val="ListParagraph"/>
        <w:widowControl w:val="0"/>
        <w:numPr>
          <w:ilvl w:val="1"/>
          <w:numId w:val="10"/>
        </w:numPr>
        <w:spacing w:before="240"/>
        <w:outlineLvl w:val="1"/>
        <w:rPr>
          <w:rFonts w:ascii="Arial" w:hAnsi="Arial" w:cs="Arial"/>
        </w:rPr>
      </w:pPr>
      <w:r>
        <w:rPr>
          <w:rFonts w:ascii="Arial" w:hAnsi="Arial" w:cs="Arial"/>
        </w:rPr>
        <w:t>A</w:t>
      </w:r>
      <w:r w:rsidRPr="004B5897">
        <w:rPr>
          <w:rFonts w:ascii="Arial" w:hAnsi="Arial" w:cs="Arial"/>
        </w:rPr>
        <w:t>ny aspect of the pay of others when it has an impact on them</w:t>
      </w:r>
      <w:r>
        <w:rPr>
          <w:rFonts w:ascii="Arial" w:hAnsi="Arial" w:cs="Arial"/>
        </w:rPr>
        <w:t>.</w:t>
      </w:r>
    </w:p>
    <w:p w14:paraId="2C4BD87E" w14:textId="77777777" w:rsidR="00891F15" w:rsidRDefault="00891F15" w:rsidP="00891F15">
      <w:pPr>
        <w:pStyle w:val="ListParagraph"/>
        <w:widowControl w:val="0"/>
        <w:spacing w:before="240"/>
        <w:ind w:left="792"/>
        <w:outlineLvl w:val="1"/>
        <w:rPr>
          <w:rFonts w:ascii="Arial" w:hAnsi="Arial" w:cs="Arial"/>
        </w:rPr>
      </w:pPr>
    </w:p>
    <w:p w14:paraId="2622139A" w14:textId="5288E37C" w:rsidR="001722B9" w:rsidRDefault="001722B9" w:rsidP="00891F15">
      <w:pPr>
        <w:pStyle w:val="Heading2"/>
        <w:spacing w:before="0"/>
      </w:pPr>
      <w:r w:rsidRPr="00715FB6">
        <w:t>Administration</w:t>
      </w:r>
    </w:p>
    <w:p w14:paraId="59B44A7F" w14:textId="77777777" w:rsidR="00891F15" w:rsidRPr="00891F15" w:rsidRDefault="00891F15" w:rsidP="00891F15">
      <w:pPr>
        <w:pStyle w:val="BodyText2"/>
        <w:spacing w:after="0" w:line="276" w:lineRule="auto"/>
        <w:rPr>
          <w:rFonts w:cs="Arial"/>
        </w:rPr>
      </w:pPr>
      <w:r w:rsidRPr="00891F15">
        <w:rPr>
          <w:rFonts w:cs="Arial"/>
        </w:rPr>
        <w:t>The Committee shall be supported with a secretariat function. Which will include ensuring that:</w:t>
      </w:r>
    </w:p>
    <w:p w14:paraId="749AE1F2" w14:textId="77777777" w:rsidR="00891F15" w:rsidRPr="00891F15" w:rsidRDefault="00891F15" w:rsidP="00891F15">
      <w:pPr>
        <w:pStyle w:val="BodyText2"/>
        <w:numPr>
          <w:ilvl w:val="0"/>
          <w:numId w:val="13"/>
        </w:numPr>
        <w:spacing w:after="0" w:line="276" w:lineRule="auto"/>
        <w:ind w:left="714" w:hanging="357"/>
        <w:jc w:val="both"/>
        <w:rPr>
          <w:rFonts w:cs="Arial"/>
          <w:lang w:val="en-US"/>
        </w:rPr>
      </w:pPr>
      <w:r w:rsidRPr="00891F15">
        <w:rPr>
          <w:rFonts w:cs="Arial"/>
          <w:lang w:val="en-US"/>
        </w:rPr>
        <w:t>The agenda and papers are prepared and distributed in accordance with the Standing Orders having been agreed by the Chair with the support of the relevant executive lead</w:t>
      </w:r>
    </w:p>
    <w:p w14:paraId="74DAEBC2" w14:textId="77777777" w:rsidR="00891F15" w:rsidRPr="00891F15" w:rsidRDefault="00891F15" w:rsidP="00891F15">
      <w:pPr>
        <w:pStyle w:val="BodyText2"/>
        <w:numPr>
          <w:ilvl w:val="0"/>
          <w:numId w:val="13"/>
        </w:numPr>
        <w:spacing w:before="240" w:after="0" w:line="276" w:lineRule="auto"/>
        <w:ind w:left="714" w:hanging="357"/>
        <w:jc w:val="both"/>
        <w:rPr>
          <w:rFonts w:cs="Arial"/>
          <w:lang w:val="en-US"/>
        </w:rPr>
      </w:pPr>
      <w:r w:rsidRPr="00891F15">
        <w:rPr>
          <w:rFonts w:cs="Arial"/>
          <w:lang w:val="en-US"/>
        </w:rPr>
        <w:t>Records of members’ appointments and renewal dates and the Board is prompted to renew membership and identify new members where necessary</w:t>
      </w:r>
    </w:p>
    <w:p w14:paraId="0D937295" w14:textId="77777777" w:rsidR="00891F15" w:rsidRPr="00891F15" w:rsidRDefault="00891F15" w:rsidP="00891F15">
      <w:pPr>
        <w:pStyle w:val="BodyText2"/>
        <w:numPr>
          <w:ilvl w:val="0"/>
          <w:numId w:val="13"/>
        </w:numPr>
        <w:spacing w:before="240" w:after="0" w:line="276" w:lineRule="auto"/>
        <w:ind w:left="714" w:hanging="357"/>
        <w:jc w:val="both"/>
        <w:rPr>
          <w:rFonts w:cs="Arial"/>
          <w:lang w:val="en-US"/>
        </w:rPr>
      </w:pPr>
      <w:r w:rsidRPr="00891F15">
        <w:rPr>
          <w:rFonts w:cs="Arial"/>
          <w:lang w:val="en-US"/>
        </w:rPr>
        <w:t xml:space="preserve">Good quality minutes are taken in accordance with the standing orders and agreed with the chair and that a record of matters arising, action points and issues to be carried forward are kept </w:t>
      </w:r>
    </w:p>
    <w:p w14:paraId="6C9F7067" w14:textId="77777777" w:rsidR="00891F15" w:rsidRPr="00891F15" w:rsidRDefault="00891F15" w:rsidP="00891F15">
      <w:pPr>
        <w:pStyle w:val="BodyText2"/>
        <w:numPr>
          <w:ilvl w:val="0"/>
          <w:numId w:val="13"/>
        </w:numPr>
        <w:spacing w:before="240" w:after="0" w:line="276" w:lineRule="auto"/>
        <w:ind w:left="714" w:hanging="357"/>
        <w:jc w:val="both"/>
        <w:rPr>
          <w:rFonts w:cs="Arial"/>
          <w:lang w:val="en-US"/>
        </w:rPr>
      </w:pPr>
      <w:r w:rsidRPr="00891F15">
        <w:rPr>
          <w:rFonts w:cs="Arial"/>
          <w:lang w:val="en-US"/>
        </w:rPr>
        <w:t>The Chair is supported to prepare and deliver reports to the Board</w:t>
      </w:r>
    </w:p>
    <w:p w14:paraId="3BA81B0D" w14:textId="77777777" w:rsidR="00891F15" w:rsidRPr="00891F15" w:rsidRDefault="00891F15" w:rsidP="00891F15">
      <w:pPr>
        <w:pStyle w:val="BodyText2"/>
        <w:numPr>
          <w:ilvl w:val="0"/>
          <w:numId w:val="13"/>
        </w:numPr>
        <w:spacing w:before="240" w:after="0" w:line="276" w:lineRule="auto"/>
        <w:ind w:left="714" w:hanging="357"/>
        <w:jc w:val="both"/>
        <w:rPr>
          <w:rFonts w:cs="Arial"/>
          <w:lang w:val="en-US"/>
        </w:rPr>
      </w:pPr>
      <w:r w:rsidRPr="00891F15">
        <w:rPr>
          <w:rFonts w:cs="Arial"/>
          <w:lang w:val="en-US"/>
        </w:rPr>
        <w:t>The Committee is updated on pertinent issues/ areas of interest/ policy developments; and</w:t>
      </w:r>
    </w:p>
    <w:p w14:paraId="3B229079" w14:textId="77777777" w:rsidR="00891F15" w:rsidRPr="00891F15" w:rsidRDefault="00891F15" w:rsidP="00891F15">
      <w:pPr>
        <w:pStyle w:val="BodyText2"/>
        <w:numPr>
          <w:ilvl w:val="0"/>
          <w:numId w:val="13"/>
        </w:numPr>
        <w:spacing w:before="240" w:after="0" w:line="276" w:lineRule="auto"/>
        <w:ind w:left="714" w:hanging="357"/>
        <w:jc w:val="both"/>
        <w:rPr>
          <w:rFonts w:cs="Arial"/>
          <w:lang w:val="en-US"/>
        </w:rPr>
      </w:pPr>
      <w:r w:rsidRPr="00891F15">
        <w:rPr>
          <w:rFonts w:cs="Arial"/>
          <w:lang w:val="en-US"/>
        </w:rPr>
        <w:t>Action points are taken forward between meetings</w:t>
      </w:r>
    </w:p>
    <w:p w14:paraId="23354A75" w14:textId="172E2896" w:rsidR="00CA16C4" w:rsidRPr="00CA16C4" w:rsidRDefault="001722B9" w:rsidP="00891F15">
      <w:pPr>
        <w:pStyle w:val="Heading2"/>
        <w:spacing w:before="240"/>
      </w:pPr>
      <w:r w:rsidRPr="00715FB6">
        <w:t>Quoracy</w:t>
      </w:r>
    </w:p>
    <w:p w14:paraId="4E764132" w14:textId="4AAE2270" w:rsidR="00CA16C4" w:rsidRDefault="00CA16C4" w:rsidP="00CA16C4">
      <w:pPr>
        <w:autoSpaceDE w:val="0"/>
        <w:autoSpaceDN w:val="0"/>
        <w:adjustRightInd w:val="0"/>
        <w:rPr>
          <w:rFonts w:ascii="Arial" w:hAnsi="Arial" w:cs="Arial"/>
        </w:rPr>
      </w:pPr>
      <w:r w:rsidRPr="000E1A46">
        <w:rPr>
          <w:rFonts w:ascii="Arial" w:hAnsi="Arial" w:cs="Arial"/>
        </w:rPr>
        <w:t xml:space="preserve">For a meeting to be quorate a minimum of </w:t>
      </w:r>
      <w:r>
        <w:rPr>
          <w:rFonts w:ascii="Arial" w:hAnsi="Arial" w:cs="Arial"/>
        </w:rPr>
        <w:t xml:space="preserve">three Non-Executive Members </w:t>
      </w:r>
      <w:r w:rsidRPr="002D71F2">
        <w:rPr>
          <w:rFonts w:ascii="Arial" w:hAnsi="Arial" w:cs="Arial"/>
        </w:rPr>
        <w:t>is required, including the Chair or Vice Chair of the Committee.</w:t>
      </w:r>
      <w:r w:rsidRPr="000E1A46">
        <w:rPr>
          <w:rFonts w:ascii="Arial" w:hAnsi="Arial" w:cs="Arial"/>
        </w:rPr>
        <w:t xml:space="preserve"> If any member of the Committee has been disqualified from participating on item in the agenda, by reason of a declaration of conflicts of interest, then that </w:t>
      </w:r>
      <w:r w:rsidRPr="000E1A46">
        <w:rPr>
          <w:rFonts w:ascii="Arial" w:hAnsi="Arial" w:cs="Arial"/>
        </w:rPr>
        <w:lastRenderedPageBreak/>
        <w:t>individual shall no longer count towards the quorum</w:t>
      </w:r>
      <w:r w:rsidRPr="00324242">
        <w:rPr>
          <w:rFonts w:ascii="Arial" w:hAnsi="Arial" w:cs="Arial"/>
        </w:rPr>
        <w:t>. If the quorum has not been reached, then the meeting may proceed if those attending agree, but no decisions may be taken.</w:t>
      </w:r>
    </w:p>
    <w:p w14:paraId="29AFFB13" w14:textId="77777777" w:rsidR="00CA16C4" w:rsidRDefault="00CA16C4" w:rsidP="00CA16C4">
      <w:pPr>
        <w:autoSpaceDE w:val="0"/>
        <w:autoSpaceDN w:val="0"/>
        <w:adjustRightInd w:val="0"/>
        <w:rPr>
          <w:rFonts w:ascii="Arial" w:hAnsi="Arial" w:cs="Arial"/>
        </w:rPr>
      </w:pPr>
    </w:p>
    <w:p w14:paraId="5F3FCE8F" w14:textId="156BF6C3" w:rsidR="00CA16C4" w:rsidRDefault="00CA16C4" w:rsidP="00CA16C4">
      <w:pPr>
        <w:autoSpaceDE w:val="0"/>
        <w:autoSpaceDN w:val="0"/>
        <w:adjustRightInd w:val="0"/>
        <w:rPr>
          <w:rFonts w:ascii="Arial" w:hAnsi="Arial" w:cs="Arial"/>
        </w:rPr>
      </w:pPr>
      <w:r>
        <w:rPr>
          <w:rFonts w:ascii="Arial" w:hAnsi="Arial" w:cs="Arial"/>
        </w:rPr>
        <w:t xml:space="preserve">If, due to a conflict of interest, all Non-Executive Members are unable to participate, the meeting will be quorate with three Partner Members present. These members will choose a chair for that meeting from amongst the members present.  </w:t>
      </w:r>
    </w:p>
    <w:p w14:paraId="2DE428CE" w14:textId="77777777" w:rsidR="00CA16C4" w:rsidRDefault="00CA16C4" w:rsidP="00CA16C4">
      <w:pPr>
        <w:autoSpaceDE w:val="0"/>
        <w:autoSpaceDN w:val="0"/>
        <w:adjustRightInd w:val="0"/>
        <w:rPr>
          <w:rFonts w:ascii="Arial" w:hAnsi="Arial" w:cs="Arial"/>
        </w:rPr>
      </w:pPr>
    </w:p>
    <w:p w14:paraId="24FE2D0C" w14:textId="6CD4F8A2" w:rsidR="00CA16C4" w:rsidRPr="00CA16C4" w:rsidRDefault="00CA16C4" w:rsidP="00CA16C4">
      <w:pPr>
        <w:rPr>
          <w:rFonts w:ascii="Arial" w:hAnsi="Arial" w:cs="Arial"/>
          <w:b/>
          <w:bCs/>
          <w:iCs/>
        </w:rPr>
      </w:pPr>
      <w:bookmarkStart w:id="0" w:name="_Hlk82947127"/>
      <w:r w:rsidRPr="00CA16C4">
        <w:rPr>
          <w:rFonts w:ascii="Arial" w:hAnsi="Arial" w:cs="Arial"/>
          <w:b/>
          <w:bCs/>
          <w:iCs/>
        </w:rPr>
        <w:t>Decision making and voting</w:t>
      </w:r>
      <w:r>
        <w:rPr>
          <w:rFonts w:ascii="Arial" w:hAnsi="Arial" w:cs="Arial"/>
          <w:b/>
          <w:bCs/>
          <w:iCs/>
        </w:rPr>
        <w:t xml:space="preserve">: </w:t>
      </w:r>
    </w:p>
    <w:p w14:paraId="4612E067" w14:textId="41534295" w:rsidR="00CA16C4" w:rsidRDefault="00CA16C4" w:rsidP="00CA16C4">
      <w:pPr>
        <w:autoSpaceDE w:val="0"/>
        <w:autoSpaceDN w:val="0"/>
        <w:adjustRightInd w:val="0"/>
        <w:rPr>
          <w:rFonts w:ascii="Arial" w:hAnsi="Arial" w:cs="Arial"/>
        </w:rPr>
      </w:pPr>
      <w:r w:rsidRPr="004B5897">
        <w:rPr>
          <w:rFonts w:ascii="Arial" w:hAnsi="Arial" w:cs="Arial"/>
        </w:rPr>
        <w:t xml:space="preserve">Decisions will be guided by national NHS policy and best practice to ensure that staff are </w:t>
      </w:r>
      <w:proofErr w:type="gramStart"/>
      <w:r w:rsidRPr="004B5897">
        <w:rPr>
          <w:rFonts w:ascii="Arial" w:hAnsi="Arial" w:cs="Arial"/>
        </w:rPr>
        <w:t>fairly motivated</w:t>
      </w:r>
      <w:proofErr w:type="gramEnd"/>
      <w:r w:rsidRPr="004B5897">
        <w:rPr>
          <w:rFonts w:ascii="Arial" w:hAnsi="Arial" w:cs="Arial"/>
        </w:rPr>
        <w:t xml:space="preserve"> and rewarded for their individual contribution to the organisation, whilst ensuring proper regard to wider influences such as national consistency. </w:t>
      </w:r>
    </w:p>
    <w:p w14:paraId="322E35E8" w14:textId="77777777" w:rsidR="00CA16C4" w:rsidRPr="004B5897" w:rsidRDefault="00CA16C4" w:rsidP="00CA16C4">
      <w:pPr>
        <w:autoSpaceDE w:val="0"/>
        <w:autoSpaceDN w:val="0"/>
        <w:adjustRightInd w:val="0"/>
        <w:rPr>
          <w:rFonts w:ascii="Arial" w:hAnsi="Arial" w:cs="Arial"/>
        </w:rPr>
      </w:pPr>
    </w:p>
    <w:p w14:paraId="5D37AE5A" w14:textId="42490170" w:rsidR="00CA16C4" w:rsidRDefault="00CA16C4" w:rsidP="00CA16C4">
      <w:pPr>
        <w:autoSpaceDE w:val="0"/>
        <w:autoSpaceDN w:val="0"/>
        <w:adjustRightInd w:val="0"/>
        <w:rPr>
          <w:rFonts w:ascii="Arial" w:hAnsi="Arial" w:cs="Arial"/>
        </w:rPr>
      </w:pPr>
      <w:r w:rsidRPr="004B5897">
        <w:rPr>
          <w:rFonts w:ascii="Arial" w:hAnsi="Arial" w:cs="Arial"/>
        </w:rPr>
        <w:t>Decisions will be taken in according with the Standing Orders. The Committee will ordinarily reach conclusions by consensus. When this is not possible the Chair may call a vote.</w:t>
      </w:r>
    </w:p>
    <w:p w14:paraId="05C902C1" w14:textId="77777777" w:rsidR="00CA16C4" w:rsidRPr="004B5897" w:rsidRDefault="00CA16C4" w:rsidP="00CA16C4">
      <w:pPr>
        <w:autoSpaceDE w:val="0"/>
        <w:autoSpaceDN w:val="0"/>
        <w:adjustRightInd w:val="0"/>
        <w:rPr>
          <w:rFonts w:ascii="Arial" w:hAnsi="Arial" w:cs="Arial"/>
        </w:rPr>
      </w:pPr>
    </w:p>
    <w:p w14:paraId="3C2891DB" w14:textId="77777777" w:rsidR="00CA16C4" w:rsidRDefault="00CA16C4" w:rsidP="00CA16C4">
      <w:pPr>
        <w:autoSpaceDE w:val="0"/>
        <w:autoSpaceDN w:val="0"/>
        <w:adjustRightInd w:val="0"/>
        <w:rPr>
          <w:rFonts w:ascii="Arial" w:hAnsi="Arial" w:cs="Arial"/>
        </w:rPr>
      </w:pPr>
      <w:r w:rsidRPr="004B5897">
        <w:rPr>
          <w:rFonts w:ascii="Arial" w:hAnsi="Arial" w:cs="Arial"/>
        </w:rPr>
        <w:t xml:space="preserve">Only members of the Committee may vote. Each member is allowed one vote and a majority will be conclusive on any matter. </w:t>
      </w:r>
    </w:p>
    <w:p w14:paraId="7B704C42" w14:textId="77777777" w:rsidR="00CA16C4" w:rsidRPr="004B5897" w:rsidRDefault="00CA16C4" w:rsidP="00CA16C4">
      <w:pPr>
        <w:autoSpaceDE w:val="0"/>
        <w:autoSpaceDN w:val="0"/>
        <w:adjustRightInd w:val="0"/>
        <w:rPr>
          <w:rFonts w:ascii="Arial" w:hAnsi="Arial" w:cs="Arial"/>
        </w:rPr>
      </w:pPr>
    </w:p>
    <w:p w14:paraId="1E2A67AE" w14:textId="77777777" w:rsidR="00CA16C4" w:rsidRPr="00F8747D" w:rsidRDefault="00CA16C4" w:rsidP="00CA16C4">
      <w:pPr>
        <w:autoSpaceDE w:val="0"/>
        <w:autoSpaceDN w:val="0"/>
        <w:adjustRightInd w:val="0"/>
        <w:rPr>
          <w:rFonts w:ascii="Arial" w:hAnsi="Arial" w:cs="Arial"/>
        </w:rPr>
      </w:pPr>
      <w:r w:rsidRPr="004B5897">
        <w:rPr>
          <w:rFonts w:ascii="Arial" w:hAnsi="Arial" w:cs="Arial"/>
        </w:rPr>
        <w:t>Where there is a split vote, with no clear majority, the Chair of the Committee will hold the casting vote.</w:t>
      </w:r>
      <w:bookmarkEnd w:id="0"/>
    </w:p>
    <w:p w14:paraId="0D570C6F" w14:textId="17BF4FE6" w:rsidR="001722B9" w:rsidRDefault="001722B9" w:rsidP="00A57A65">
      <w:pPr>
        <w:pStyle w:val="Heading2"/>
        <w:spacing w:before="300"/>
      </w:pPr>
      <w:r w:rsidRPr="00715FB6">
        <w:t>Frequency of meetings</w:t>
      </w:r>
    </w:p>
    <w:p w14:paraId="51623053" w14:textId="77777777" w:rsidR="00CA16C4" w:rsidRDefault="00CA16C4" w:rsidP="00CA16C4">
      <w:pPr>
        <w:autoSpaceDE w:val="0"/>
        <w:autoSpaceDN w:val="0"/>
        <w:adjustRightInd w:val="0"/>
        <w:rPr>
          <w:rFonts w:ascii="Arial" w:hAnsi="Arial" w:cs="Arial"/>
        </w:rPr>
      </w:pPr>
      <w:r w:rsidRPr="004B5897">
        <w:rPr>
          <w:rFonts w:ascii="Arial" w:hAnsi="Arial" w:cs="Arial"/>
        </w:rPr>
        <w:t xml:space="preserve">The Committee will meet in private. The Committee will meet </w:t>
      </w:r>
      <w:r w:rsidRPr="00AD6FAE">
        <w:rPr>
          <w:rFonts w:ascii="Arial" w:hAnsi="Arial" w:cs="Arial"/>
        </w:rPr>
        <w:t xml:space="preserve">at least once each year </w:t>
      </w:r>
      <w:r w:rsidRPr="004B5897">
        <w:rPr>
          <w:rFonts w:ascii="Arial" w:hAnsi="Arial" w:cs="Arial"/>
        </w:rPr>
        <w:t>and arrangements and notice for calling meetings are set out in the Standing Orders. Additional meetings may take place as required.</w:t>
      </w:r>
    </w:p>
    <w:p w14:paraId="3EE4C0F6" w14:textId="77777777" w:rsidR="00CA16C4" w:rsidRPr="004B5897" w:rsidRDefault="00CA16C4" w:rsidP="00CA16C4">
      <w:pPr>
        <w:autoSpaceDE w:val="0"/>
        <w:autoSpaceDN w:val="0"/>
        <w:adjustRightInd w:val="0"/>
        <w:rPr>
          <w:rFonts w:ascii="Arial" w:hAnsi="Arial" w:cs="Arial"/>
        </w:rPr>
      </w:pPr>
    </w:p>
    <w:p w14:paraId="68CB6AEA" w14:textId="77777777" w:rsidR="00CA16C4" w:rsidRPr="004B5897" w:rsidRDefault="00CA16C4" w:rsidP="00CA16C4">
      <w:pPr>
        <w:autoSpaceDE w:val="0"/>
        <w:autoSpaceDN w:val="0"/>
        <w:adjustRightInd w:val="0"/>
        <w:rPr>
          <w:rFonts w:ascii="Arial" w:hAnsi="Arial" w:cs="Arial"/>
        </w:rPr>
      </w:pPr>
      <w:r w:rsidRPr="004B5897">
        <w:rPr>
          <w:rFonts w:ascii="Arial" w:hAnsi="Arial" w:cs="Arial"/>
        </w:rPr>
        <w:t xml:space="preserve">The Board, Chair or Chief Executive may ask the Remuneration Committee to convene further meetings to discuss </w:t>
      </w:r>
      <w:proofErr w:type="gramStart"/>
      <w:r w:rsidRPr="004B5897">
        <w:rPr>
          <w:rFonts w:ascii="Arial" w:hAnsi="Arial" w:cs="Arial"/>
        </w:rPr>
        <w:t>particular issues</w:t>
      </w:r>
      <w:proofErr w:type="gramEnd"/>
      <w:r w:rsidRPr="004B5897">
        <w:rPr>
          <w:rFonts w:ascii="Arial" w:hAnsi="Arial" w:cs="Arial"/>
        </w:rPr>
        <w:t xml:space="preserve"> on which they want the Committee’s advice.</w:t>
      </w:r>
    </w:p>
    <w:p w14:paraId="5ED19322" w14:textId="77777777" w:rsidR="00CA16C4" w:rsidRDefault="00CA16C4" w:rsidP="00CA16C4">
      <w:pPr>
        <w:autoSpaceDE w:val="0"/>
        <w:autoSpaceDN w:val="0"/>
        <w:adjustRightInd w:val="0"/>
        <w:rPr>
          <w:rFonts w:ascii="Arial" w:hAnsi="Arial" w:cs="Arial"/>
        </w:rPr>
      </w:pPr>
      <w:r w:rsidRPr="004B5897">
        <w:rPr>
          <w:rFonts w:ascii="Arial" w:hAnsi="Arial" w:cs="Arial"/>
        </w:rPr>
        <w:t xml:space="preserve">In accordance with the Standing Orders, the Committee may meet virtually when necessary and members attending using electronic means will be counted towards the quorum. </w:t>
      </w:r>
    </w:p>
    <w:p w14:paraId="5F84BCD0" w14:textId="0B7B4A28" w:rsidR="001722B9" w:rsidRDefault="001722B9" w:rsidP="00A57A65">
      <w:pPr>
        <w:pStyle w:val="Heading2"/>
        <w:spacing w:before="300"/>
      </w:pPr>
      <w:r w:rsidRPr="00715FB6">
        <w:t>Remit and Responsibilities</w:t>
      </w:r>
    </w:p>
    <w:p w14:paraId="1A960520" w14:textId="77777777" w:rsidR="00CA16C4" w:rsidRDefault="00CA16C4" w:rsidP="00CA16C4">
      <w:r>
        <w:t>The Committee’s duties are as follows:</w:t>
      </w:r>
    </w:p>
    <w:p w14:paraId="56AFF8B9" w14:textId="77777777" w:rsidR="00CA16C4" w:rsidRDefault="00CA16C4" w:rsidP="00CA16C4"/>
    <w:p w14:paraId="7348F67A" w14:textId="77777777" w:rsidR="00CA16C4" w:rsidRDefault="00CA16C4" w:rsidP="00CA16C4">
      <w:r>
        <w:t xml:space="preserve">For the Chief Executive, </w:t>
      </w:r>
      <w:proofErr w:type="gramStart"/>
      <w:r>
        <w:t>Directors</w:t>
      </w:r>
      <w:proofErr w:type="gramEnd"/>
      <w:r>
        <w:t xml:space="preserve"> and other Very Senior Managers:</w:t>
      </w:r>
    </w:p>
    <w:p w14:paraId="628B442F" w14:textId="77777777" w:rsidR="00CA16C4" w:rsidRDefault="00CA16C4" w:rsidP="00CA16C4">
      <w:pPr>
        <w:pStyle w:val="ListParagraph"/>
        <w:numPr>
          <w:ilvl w:val="0"/>
          <w:numId w:val="11"/>
        </w:numPr>
      </w:pPr>
      <w:r>
        <w:t xml:space="preserve">Determine all aspects of remuneration including but not limited to salary, (including any performance-related elements) bonuses, pensions and </w:t>
      </w:r>
      <w:proofErr w:type="gramStart"/>
      <w:r>
        <w:t>cars;</w:t>
      </w:r>
      <w:proofErr w:type="gramEnd"/>
      <w:r>
        <w:t xml:space="preserve"> </w:t>
      </w:r>
    </w:p>
    <w:p w14:paraId="098EE45E" w14:textId="13C3A61B" w:rsidR="00CA16C4" w:rsidRDefault="00CA16C4" w:rsidP="00CA16C4">
      <w:pPr>
        <w:pStyle w:val="ListParagraph"/>
        <w:numPr>
          <w:ilvl w:val="0"/>
          <w:numId w:val="11"/>
        </w:numPr>
      </w:pPr>
      <w:r>
        <w:t xml:space="preserve">Determine arrangements for termination of employment and other contractual terms and non-contractual terms. </w:t>
      </w:r>
    </w:p>
    <w:p w14:paraId="53C803EB" w14:textId="77777777" w:rsidR="00CA16C4" w:rsidRDefault="00CA16C4" w:rsidP="00CA16C4">
      <w:pPr>
        <w:pStyle w:val="ListParagraph"/>
      </w:pPr>
    </w:p>
    <w:p w14:paraId="48C7FCBE" w14:textId="17E382A0" w:rsidR="00CA16C4" w:rsidRDefault="00CA16C4" w:rsidP="00CA16C4">
      <w:r>
        <w:t>For the Non-Executive Members:</w:t>
      </w:r>
    </w:p>
    <w:p w14:paraId="0A3AA94A" w14:textId="553E0EBB" w:rsidR="00CA16C4" w:rsidRDefault="00CA16C4" w:rsidP="00CA16C4">
      <w:pPr>
        <w:pStyle w:val="ListParagraph"/>
        <w:numPr>
          <w:ilvl w:val="0"/>
          <w:numId w:val="12"/>
        </w:numPr>
      </w:pPr>
      <w:r>
        <w:t xml:space="preserve">Determine all aspects of remuneration </w:t>
      </w:r>
    </w:p>
    <w:p w14:paraId="09CF5E3D" w14:textId="77777777" w:rsidR="00CA16C4" w:rsidRDefault="00CA16C4" w:rsidP="00CA16C4"/>
    <w:p w14:paraId="697705AE" w14:textId="77777777" w:rsidR="00CA16C4" w:rsidRDefault="00CA16C4" w:rsidP="00CA16C4">
      <w:r>
        <w:t>For Board members:</w:t>
      </w:r>
    </w:p>
    <w:p w14:paraId="6B0431C5" w14:textId="1320B972" w:rsidR="00CA16C4" w:rsidRDefault="00CA16C4" w:rsidP="00CA16C4">
      <w:pPr>
        <w:pStyle w:val="ListParagraph"/>
        <w:numPr>
          <w:ilvl w:val="0"/>
          <w:numId w:val="12"/>
        </w:numPr>
      </w:pPr>
      <w:r>
        <w:t>Terms of appointment</w:t>
      </w:r>
    </w:p>
    <w:p w14:paraId="7FCC97B0" w14:textId="77777777" w:rsidR="00CA16C4" w:rsidRDefault="00CA16C4" w:rsidP="00CA16C4"/>
    <w:p w14:paraId="46711EBD" w14:textId="77777777" w:rsidR="00CA16C4" w:rsidRDefault="00CA16C4" w:rsidP="00CA16C4">
      <w:r>
        <w:t>For all staff:</w:t>
      </w:r>
    </w:p>
    <w:p w14:paraId="5C950CDC" w14:textId="77777777" w:rsidR="00CA16C4" w:rsidRDefault="00CA16C4" w:rsidP="00CA16C4">
      <w:pPr>
        <w:pStyle w:val="ListParagraph"/>
        <w:numPr>
          <w:ilvl w:val="0"/>
          <w:numId w:val="12"/>
        </w:numPr>
      </w:pPr>
      <w:r>
        <w:lastRenderedPageBreak/>
        <w:t>Determine the ICB pay policy (including the adoption of pay frameworks such as Agenda for Change</w:t>
      </w:r>
      <w:proofErr w:type="gramStart"/>
      <w:r>
        <w:t>);</w:t>
      </w:r>
      <w:proofErr w:type="gramEnd"/>
    </w:p>
    <w:p w14:paraId="773E0E60" w14:textId="77777777" w:rsidR="00CA16C4" w:rsidRDefault="00CA16C4" w:rsidP="00CA16C4">
      <w:pPr>
        <w:pStyle w:val="ListParagraph"/>
        <w:numPr>
          <w:ilvl w:val="0"/>
          <w:numId w:val="12"/>
        </w:numPr>
      </w:pPr>
      <w:r>
        <w:t xml:space="preserve">Oversee contractual </w:t>
      </w:r>
      <w:proofErr w:type="gramStart"/>
      <w:r>
        <w:t>arrangements;</w:t>
      </w:r>
      <w:proofErr w:type="gramEnd"/>
      <w:r>
        <w:t xml:space="preserve"> </w:t>
      </w:r>
    </w:p>
    <w:p w14:paraId="13D8A22C" w14:textId="5D072C5F" w:rsidR="00CA16C4" w:rsidRPr="00CA16C4" w:rsidRDefault="00CA16C4" w:rsidP="00CA16C4">
      <w:pPr>
        <w:pStyle w:val="ListParagraph"/>
        <w:numPr>
          <w:ilvl w:val="0"/>
          <w:numId w:val="12"/>
        </w:numPr>
      </w:pPr>
      <w:r>
        <w:t>Determine the arrangements for termination payments and any special payments following scrutiny of their proper calculation and taking account of such national guidance as appropriate.</w:t>
      </w:r>
    </w:p>
    <w:p w14:paraId="383F1259" w14:textId="5AC51CAF" w:rsidR="00CA16C4" w:rsidRDefault="00CA16C4" w:rsidP="00A57A65">
      <w:pPr>
        <w:pStyle w:val="Heading2"/>
        <w:spacing w:before="300"/>
      </w:pPr>
      <w:r>
        <w:t>Behaviours and Conduct</w:t>
      </w:r>
    </w:p>
    <w:p w14:paraId="0190C38A" w14:textId="31F07CB6" w:rsidR="00CA16C4" w:rsidRPr="00891F15" w:rsidRDefault="00CA16C4" w:rsidP="00CA16C4">
      <w:pPr>
        <w:rPr>
          <w:rFonts w:ascii="Arial" w:hAnsi="Arial" w:cs="Arial"/>
          <w:b/>
          <w:bCs/>
          <w:iCs/>
        </w:rPr>
      </w:pPr>
      <w:r w:rsidRPr="00891F15">
        <w:rPr>
          <w:rFonts w:ascii="Arial" w:hAnsi="Arial" w:cs="Arial"/>
          <w:b/>
          <w:bCs/>
          <w:iCs/>
        </w:rPr>
        <w:t>Benchmarking and guidance</w:t>
      </w:r>
      <w:r w:rsidR="00891F15">
        <w:rPr>
          <w:rFonts w:ascii="Arial" w:hAnsi="Arial" w:cs="Arial"/>
          <w:b/>
          <w:bCs/>
          <w:iCs/>
        </w:rPr>
        <w:t>:</w:t>
      </w:r>
    </w:p>
    <w:p w14:paraId="29AA2C9F" w14:textId="71ED291B" w:rsidR="00CA16C4" w:rsidRDefault="00CA16C4" w:rsidP="00CA16C4">
      <w:pPr>
        <w:autoSpaceDE w:val="0"/>
        <w:autoSpaceDN w:val="0"/>
        <w:adjustRightInd w:val="0"/>
        <w:rPr>
          <w:rFonts w:ascii="Arial" w:hAnsi="Arial" w:cs="Arial"/>
        </w:rPr>
      </w:pPr>
      <w:r w:rsidRPr="004B5897">
        <w:rPr>
          <w:rFonts w:ascii="Arial" w:hAnsi="Arial" w:cs="Arial"/>
        </w:rPr>
        <w:t>The Committee will take proper account of National Agreements and appropriate benchmarking, for example Agenda for Change and guidance issued by the Government, the Department of Health and Social Care</w:t>
      </w:r>
      <w:r>
        <w:rPr>
          <w:rFonts w:ascii="Arial" w:hAnsi="Arial" w:cs="Arial"/>
        </w:rPr>
        <w:t>,</w:t>
      </w:r>
      <w:r w:rsidRPr="004B5897">
        <w:rPr>
          <w:rFonts w:ascii="Arial" w:hAnsi="Arial" w:cs="Arial"/>
        </w:rPr>
        <w:t xml:space="preserve"> NHS </w:t>
      </w:r>
      <w:proofErr w:type="gramStart"/>
      <w:r w:rsidRPr="004B5897">
        <w:rPr>
          <w:rFonts w:ascii="Arial" w:hAnsi="Arial" w:cs="Arial"/>
        </w:rPr>
        <w:t>England</w:t>
      </w:r>
      <w:proofErr w:type="gramEnd"/>
      <w:r w:rsidRPr="004B5897">
        <w:rPr>
          <w:rFonts w:ascii="Arial" w:hAnsi="Arial" w:cs="Arial"/>
        </w:rPr>
        <w:t xml:space="preserve"> and the wider NHS in reaching their determinations.</w:t>
      </w:r>
    </w:p>
    <w:p w14:paraId="324EEC97" w14:textId="77777777" w:rsidR="00891F15" w:rsidRPr="004B5897" w:rsidRDefault="00891F15" w:rsidP="00CA16C4">
      <w:pPr>
        <w:autoSpaceDE w:val="0"/>
        <w:autoSpaceDN w:val="0"/>
        <w:adjustRightInd w:val="0"/>
        <w:rPr>
          <w:rFonts w:ascii="Arial" w:hAnsi="Arial" w:cs="Arial"/>
        </w:rPr>
      </w:pPr>
    </w:p>
    <w:p w14:paraId="007E9F0B" w14:textId="18D73965" w:rsidR="00CA16C4" w:rsidRPr="00891F15" w:rsidRDefault="00CA16C4" w:rsidP="00CA16C4">
      <w:pPr>
        <w:rPr>
          <w:rFonts w:ascii="Arial" w:hAnsi="Arial" w:cs="Arial"/>
          <w:b/>
          <w:bCs/>
          <w:iCs/>
        </w:rPr>
      </w:pPr>
      <w:r w:rsidRPr="00891F15">
        <w:rPr>
          <w:rFonts w:ascii="Arial" w:hAnsi="Arial" w:cs="Arial"/>
          <w:b/>
          <w:bCs/>
          <w:iCs/>
        </w:rPr>
        <w:t>ICB values</w:t>
      </w:r>
      <w:r w:rsidR="00891F15">
        <w:rPr>
          <w:rFonts w:ascii="Arial" w:hAnsi="Arial" w:cs="Arial"/>
          <w:b/>
          <w:bCs/>
          <w:iCs/>
        </w:rPr>
        <w:t>:</w:t>
      </w:r>
    </w:p>
    <w:p w14:paraId="14A8085B" w14:textId="13C197AF" w:rsidR="00CA16C4" w:rsidRDefault="00CA16C4" w:rsidP="00CA16C4">
      <w:pPr>
        <w:autoSpaceDE w:val="0"/>
        <w:autoSpaceDN w:val="0"/>
        <w:adjustRightInd w:val="0"/>
        <w:rPr>
          <w:rFonts w:ascii="Arial" w:hAnsi="Arial" w:cs="Arial"/>
        </w:rPr>
      </w:pPr>
      <w:r w:rsidRPr="000E1A46">
        <w:rPr>
          <w:rFonts w:ascii="Arial" w:hAnsi="Arial" w:cs="Arial"/>
        </w:rPr>
        <w:t>Members will be expected to conduct business in line with the ICB values and objectives and the principles set out by the ICB.</w:t>
      </w:r>
    </w:p>
    <w:p w14:paraId="04E4CCB3" w14:textId="77777777" w:rsidR="00891F15" w:rsidRPr="000E1A46" w:rsidRDefault="00891F15" w:rsidP="00CA16C4">
      <w:pPr>
        <w:autoSpaceDE w:val="0"/>
        <w:autoSpaceDN w:val="0"/>
        <w:adjustRightInd w:val="0"/>
        <w:rPr>
          <w:rFonts w:ascii="Arial" w:hAnsi="Arial" w:cs="Arial"/>
        </w:rPr>
      </w:pPr>
    </w:p>
    <w:p w14:paraId="0D55525C" w14:textId="588DA460" w:rsidR="00CA16C4" w:rsidRDefault="00CA16C4" w:rsidP="00CA16C4">
      <w:pPr>
        <w:autoSpaceDE w:val="0"/>
        <w:autoSpaceDN w:val="0"/>
        <w:adjustRightInd w:val="0"/>
        <w:rPr>
          <w:rFonts w:ascii="Arial" w:hAnsi="Arial" w:cs="Arial"/>
        </w:rPr>
      </w:pPr>
      <w:r w:rsidRPr="004B5897">
        <w:rPr>
          <w:rFonts w:ascii="Arial" w:hAnsi="Arial" w:cs="Arial"/>
        </w:rPr>
        <w:t>Members of, and those attending, the Committee shall behave in accordance with the ICB’s constitution, Standing Orders, and Standards of Business Conduct Policy.</w:t>
      </w:r>
    </w:p>
    <w:p w14:paraId="4CE7DD4D" w14:textId="77777777" w:rsidR="00891F15" w:rsidRPr="004B5897" w:rsidRDefault="00891F15" w:rsidP="00CA16C4">
      <w:pPr>
        <w:autoSpaceDE w:val="0"/>
        <w:autoSpaceDN w:val="0"/>
        <w:adjustRightInd w:val="0"/>
        <w:rPr>
          <w:rFonts w:ascii="Arial" w:hAnsi="Arial" w:cs="Arial"/>
        </w:rPr>
      </w:pPr>
    </w:p>
    <w:p w14:paraId="1D4538BD" w14:textId="36ACE951" w:rsidR="00CA16C4" w:rsidRPr="00891F15" w:rsidRDefault="00CA16C4" w:rsidP="00CA16C4">
      <w:pPr>
        <w:rPr>
          <w:rFonts w:ascii="Arial" w:hAnsi="Arial" w:cs="Arial"/>
          <w:b/>
          <w:bCs/>
          <w:iCs/>
        </w:rPr>
      </w:pPr>
      <w:r w:rsidRPr="00891F15">
        <w:rPr>
          <w:rFonts w:ascii="Arial" w:hAnsi="Arial" w:cs="Arial"/>
          <w:b/>
          <w:bCs/>
          <w:iCs/>
        </w:rPr>
        <w:t>Equality diversity and inclusion</w:t>
      </w:r>
      <w:r w:rsidR="00891F15">
        <w:rPr>
          <w:rFonts w:ascii="Arial" w:hAnsi="Arial" w:cs="Arial"/>
          <w:b/>
          <w:bCs/>
          <w:iCs/>
        </w:rPr>
        <w:t xml:space="preserve">: </w:t>
      </w:r>
    </w:p>
    <w:p w14:paraId="039E6FAC" w14:textId="77777777" w:rsidR="00CA16C4" w:rsidRPr="004B5897" w:rsidRDefault="00CA16C4" w:rsidP="00CA16C4">
      <w:pPr>
        <w:autoSpaceDE w:val="0"/>
        <w:autoSpaceDN w:val="0"/>
        <w:adjustRightInd w:val="0"/>
        <w:rPr>
          <w:rFonts w:ascii="Arial" w:hAnsi="Arial" w:cs="Arial"/>
        </w:rPr>
      </w:pPr>
      <w:r w:rsidRPr="004B5897">
        <w:rPr>
          <w:rFonts w:ascii="Arial" w:hAnsi="Arial" w:cs="Arial"/>
        </w:rPr>
        <w:t xml:space="preserve">Members must demonstrably consider the equality, </w:t>
      </w:r>
      <w:proofErr w:type="gramStart"/>
      <w:r w:rsidRPr="004B5897">
        <w:rPr>
          <w:rFonts w:ascii="Arial" w:hAnsi="Arial" w:cs="Arial"/>
        </w:rPr>
        <w:t>diversity</w:t>
      </w:r>
      <w:proofErr w:type="gramEnd"/>
      <w:r w:rsidRPr="004B5897">
        <w:rPr>
          <w:rFonts w:ascii="Arial" w:hAnsi="Arial" w:cs="Arial"/>
        </w:rPr>
        <w:t xml:space="preserve"> and inclusion implications of decisions they make. </w:t>
      </w:r>
    </w:p>
    <w:p w14:paraId="56EA5272" w14:textId="77777777" w:rsidR="00CA16C4" w:rsidRPr="00CA16C4" w:rsidRDefault="00CA16C4" w:rsidP="00CA16C4"/>
    <w:p w14:paraId="024C6423" w14:textId="61EB8074" w:rsidR="001722B9" w:rsidRDefault="001722B9" w:rsidP="00A57A65">
      <w:pPr>
        <w:pStyle w:val="Heading2"/>
        <w:spacing w:before="300"/>
      </w:pPr>
      <w:r w:rsidRPr="00715FB6">
        <w:t>Reporting Requirements</w:t>
      </w:r>
    </w:p>
    <w:p w14:paraId="353FB0DA" w14:textId="30412559" w:rsidR="00891F15" w:rsidRDefault="00891F15" w:rsidP="00891F15">
      <w:pPr>
        <w:autoSpaceDE w:val="0"/>
        <w:autoSpaceDN w:val="0"/>
        <w:adjustRightInd w:val="0"/>
        <w:rPr>
          <w:rFonts w:ascii="Arial" w:hAnsi="Arial" w:cs="Arial"/>
        </w:rPr>
      </w:pPr>
      <w:r w:rsidRPr="004B5897">
        <w:rPr>
          <w:rFonts w:ascii="Arial" w:hAnsi="Arial" w:cs="Arial"/>
        </w:rPr>
        <w:t>The Committee is accountable to the Board and shall report to the Board on how it discharges its responsibilities.</w:t>
      </w:r>
    </w:p>
    <w:p w14:paraId="4E42A571" w14:textId="77777777" w:rsidR="00891F15" w:rsidRPr="004B5897" w:rsidRDefault="00891F15" w:rsidP="00891F15">
      <w:pPr>
        <w:autoSpaceDE w:val="0"/>
        <w:autoSpaceDN w:val="0"/>
        <w:adjustRightInd w:val="0"/>
        <w:rPr>
          <w:rFonts w:ascii="Arial" w:hAnsi="Arial" w:cs="Arial"/>
        </w:rPr>
      </w:pPr>
    </w:p>
    <w:p w14:paraId="677065E6" w14:textId="6DD1BF48" w:rsidR="00891F15" w:rsidRDefault="00891F15" w:rsidP="00891F15">
      <w:pPr>
        <w:autoSpaceDE w:val="0"/>
        <w:autoSpaceDN w:val="0"/>
        <w:adjustRightInd w:val="0"/>
        <w:rPr>
          <w:rFonts w:ascii="Arial" w:hAnsi="Arial" w:cs="Arial"/>
        </w:rPr>
      </w:pPr>
      <w:r w:rsidRPr="004B5897">
        <w:rPr>
          <w:rFonts w:ascii="Arial" w:hAnsi="Arial" w:cs="Arial"/>
        </w:rPr>
        <w:t xml:space="preserve">The minutes of the meetings shall be formally recorded by the secretary and submitted to the Board. </w:t>
      </w:r>
    </w:p>
    <w:p w14:paraId="22A42831" w14:textId="77777777" w:rsidR="00891F15" w:rsidRPr="004B5897" w:rsidRDefault="00891F15" w:rsidP="00891F15">
      <w:pPr>
        <w:autoSpaceDE w:val="0"/>
        <w:autoSpaceDN w:val="0"/>
        <w:adjustRightInd w:val="0"/>
        <w:rPr>
          <w:rFonts w:ascii="Arial" w:hAnsi="Arial" w:cs="Arial"/>
        </w:rPr>
      </w:pPr>
    </w:p>
    <w:p w14:paraId="5E020610" w14:textId="0EA69D2C" w:rsidR="00891F15" w:rsidRDefault="00891F15" w:rsidP="00891F15">
      <w:pPr>
        <w:autoSpaceDE w:val="0"/>
        <w:autoSpaceDN w:val="0"/>
        <w:adjustRightInd w:val="0"/>
        <w:rPr>
          <w:rFonts w:ascii="Arial" w:hAnsi="Arial" w:cs="Arial"/>
        </w:rPr>
      </w:pPr>
      <w:r w:rsidRPr="004B5897">
        <w:rPr>
          <w:rFonts w:ascii="Arial" w:hAnsi="Arial" w:cs="Arial"/>
        </w:rPr>
        <w:t xml:space="preserve">The Remuneration Committee will submit copies of its minutes to the Board following each of its meetings. Where minutes and reports identify individuals, they will not be made public </w:t>
      </w:r>
      <w:r w:rsidRPr="000E1A46">
        <w:rPr>
          <w:rFonts w:ascii="Arial" w:hAnsi="Arial" w:cs="Arial"/>
        </w:rPr>
        <w:t>and will be presented at part B of the Board</w:t>
      </w:r>
      <w:r w:rsidRPr="004B5897">
        <w:rPr>
          <w:rFonts w:ascii="Arial" w:hAnsi="Arial" w:cs="Arial"/>
        </w:rPr>
        <w:t>. Public reports will be made as appropriate to satisfy any requirements in relation to disclosure of public sector executive pay.</w:t>
      </w:r>
      <w:r>
        <w:rPr>
          <w:rFonts w:ascii="Arial" w:hAnsi="Arial" w:cs="Arial"/>
        </w:rPr>
        <w:t xml:space="preserve"> </w:t>
      </w:r>
    </w:p>
    <w:p w14:paraId="28E84B65" w14:textId="77777777" w:rsidR="00891F15" w:rsidRDefault="00891F15" w:rsidP="00891F15">
      <w:pPr>
        <w:autoSpaceDE w:val="0"/>
        <w:autoSpaceDN w:val="0"/>
        <w:adjustRightInd w:val="0"/>
        <w:rPr>
          <w:rFonts w:ascii="Arial" w:hAnsi="Arial" w:cs="Arial"/>
        </w:rPr>
      </w:pPr>
    </w:p>
    <w:p w14:paraId="0EAF8808" w14:textId="77777777" w:rsidR="00891F15" w:rsidRPr="004B5897" w:rsidRDefault="00891F15" w:rsidP="00891F15">
      <w:pPr>
        <w:autoSpaceDE w:val="0"/>
        <w:autoSpaceDN w:val="0"/>
        <w:adjustRightInd w:val="0"/>
        <w:rPr>
          <w:rFonts w:ascii="Arial" w:hAnsi="Arial" w:cs="Arial"/>
        </w:rPr>
      </w:pPr>
      <w:r w:rsidRPr="004B5897">
        <w:rPr>
          <w:rFonts w:ascii="Arial" w:hAnsi="Arial" w:cs="Arial"/>
        </w:rPr>
        <w:t>The Committee will provide the Board with an Annual Report.  The report will summarise its conclusions from the work it has done during the year.</w:t>
      </w:r>
    </w:p>
    <w:p w14:paraId="47AA4DC2" w14:textId="55042672" w:rsidR="001722B9" w:rsidRDefault="001722B9" w:rsidP="00A57A65">
      <w:pPr>
        <w:pStyle w:val="Heading2"/>
        <w:spacing w:before="300"/>
      </w:pPr>
      <w:r w:rsidRPr="00715FB6">
        <w:t xml:space="preserve">Review of Terms of Reference </w:t>
      </w:r>
    </w:p>
    <w:p w14:paraId="1221C862" w14:textId="0E3530C0" w:rsidR="00891F15" w:rsidRDefault="00891F15" w:rsidP="00891F15">
      <w:pPr>
        <w:autoSpaceDE w:val="0"/>
        <w:autoSpaceDN w:val="0"/>
        <w:adjustRightInd w:val="0"/>
        <w:rPr>
          <w:rFonts w:ascii="Arial" w:hAnsi="Arial" w:cs="Arial"/>
        </w:rPr>
      </w:pPr>
      <w:r w:rsidRPr="004B5897">
        <w:rPr>
          <w:rFonts w:ascii="Arial" w:hAnsi="Arial" w:cs="Arial"/>
        </w:rPr>
        <w:t>The Committee will review its effectiveness at least annually.</w:t>
      </w:r>
    </w:p>
    <w:p w14:paraId="299BE87A" w14:textId="77777777" w:rsidR="00891F15" w:rsidRPr="004B5897" w:rsidRDefault="00891F15" w:rsidP="00891F15">
      <w:pPr>
        <w:autoSpaceDE w:val="0"/>
        <w:autoSpaceDN w:val="0"/>
        <w:adjustRightInd w:val="0"/>
        <w:rPr>
          <w:rFonts w:ascii="Arial" w:hAnsi="Arial" w:cs="Arial"/>
        </w:rPr>
      </w:pPr>
    </w:p>
    <w:p w14:paraId="35110276" w14:textId="77777777" w:rsidR="00891F15" w:rsidRPr="004B5897" w:rsidRDefault="00891F15" w:rsidP="00891F15">
      <w:pPr>
        <w:autoSpaceDE w:val="0"/>
        <w:autoSpaceDN w:val="0"/>
        <w:adjustRightInd w:val="0"/>
        <w:rPr>
          <w:rFonts w:ascii="Arial" w:hAnsi="Arial" w:cs="Arial"/>
        </w:rPr>
      </w:pPr>
      <w:r w:rsidRPr="004B5897">
        <w:rPr>
          <w:rFonts w:ascii="Arial" w:hAnsi="Arial" w:cs="Arial"/>
        </w:rPr>
        <w:t>These terms of reference will be reviewed at least annually and earlier if required.  Any proposed amendments to the terms of reference will be submitted to the Board for approval.</w:t>
      </w:r>
    </w:p>
    <w:p w14:paraId="35D89209" w14:textId="61CAC0B2" w:rsidR="00F97272" w:rsidRDefault="00154FD0" w:rsidP="00154FD0">
      <w:pPr>
        <w:pStyle w:val="BodyText1"/>
        <w:spacing w:before="600"/>
      </w:pPr>
      <w:r w:rsidRPr="00154FD0">
        <w:t>1.7.22</w:t>
      </w:r>
    </w:p>
    <w:sectPr w:rsidR="00F97272" w:rsidSect="00AE48A4">
      <w:headerReference w:type="first" r:id="rId11"/>
      <w:footerReference w:type="first" r:id="rId12"/>
      <w:pgSz w:w="11906" w:h="16838" w:code="9"/>
      <w:pgMar w:top="720" w:right="720" w:bottom="720" w:left="720"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A7F9" w14:textId="77777777" w:rsidR="00AA73F1" w:rsidRDefault="00AA73F1" w:rsidP="009B0CD1">
      <w:pPr>
        <w:spacing w:line="240" w:lineRule="auto"/>
      </w:pPr>
      <w:r>
        <w:separator/>
      </w:r>
    </w:p>
  </w:endnote>
  <w:endnote w:type="continuationSeparator" w:id="0">
    <w:p w14:paraId="786988D5" w14:textId="77777777" w:rsidR="00AA73F1" w:rsidRDefault="00AA73F1" w:rsidP="009B0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8A7B" w14:textId="18355B1C" w:rsidR="000332D3" w:rsidRDefault="000332D3" w:rsidP="000332D3">
    <w:pPr>
      <w:pStyle w:val="Footer"/>
      <w:ind w:left="-720"/>
    </w:pPr>
    <w:r>
      <w:rPr>
        <w:noProof/>
        <w:lang w:eastAsia="en-GB"/>
      </w:rPr>
      <w:drawing>
        <wp:inline distT="0" distB="0" distL="0" distR="0" wp14:anchorId="092EB81C" wp14:editId="3E2EBAB5">
          <wp:extent cx="2120265" cy="744855"/>
          <wp:effectExtent l="0" t="0" r="0" b="0"/>
          <wp:docPr id="10" name="Picture 10" descr="Shaping better health campa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ing better health campaign logo"/>
                  <pic:cNvPicPr/>
                </pic:nvPicPr>
                <pic:blipFill rotWithShape="1">
                  <a:blip r:embed="rId1" cstate="print">
                    <a:extLst>
                      <a:ext uri="{28A0092B-C50C-407E-A947-70E740481C1C}">
                        <a14:useLocalDpi xmlns:a14="http://schemas.microsoft.com/office/drawing/2010/main" val="0"/>
                      </a:ext>
                    </a:extLst>
                  </a:blip>
                  <a:srcRect l="10487"/>
                  <a:stretch/>
                </pic:blipFill>
                <pic:spPr bwMode="auto">
                  <a:xfrm>
                    <a:off x="0" y="0"/>
                    <a:ext cx="2120265" cy="744855"/>
                  </a:xfrm>
                  <a:prstGeom prst="rect">
                    <a:avLst/>
                  </a:prstGeom>
                  <a:ln>
                    <a:noFill/>
                  </a:ln>
                  <a:extLst>
                    <a:ext uri="{53640926-AAD7-44D8-BBD7-CCE9431645EC}">
                      <a14:shadowObscured xmlns:a14="http://schemas.microsoft.com/office/drawing/2010/main"/>
                    </a:ext>
                  </a:extLst>
                </pic:spPr>
              </pic:pic>
            </a:graphicData>
          </a:graphic>
        </wp:inline>
      </w:drawing>
    </w:r>
    <w:r w:rsidRPr="00E60735">
      <w:rPr>
        <w:position w:val="110"/>
      </w:rPr>
      <w:tab/>
      <w:t xml:space="preserve">Page </w:t>
    </w:r>
    <w:r w:rsidRPr="00E60735">
      <w:rPr>
        <w:position w:val="110"/>
      </w:rPr>
      <w:fldChar w:fldCharType="begin"/>
    </w:r>
    <w:r w:rsidRPr="00E60735">
      <w:rPr>
        <w:position w:val="110"/>
      </w:rPr>
      <w:instrText xml:space="preserve"> PAGE   \* MERGEFORMAT </w:instrText>
    </w:r>
    <w:r w:rsidRPr="00E60735">
      <w:rPr>
        <w:position w:val="110"/>
      </w:rPr>
      <w:fldChar w:fldCharType="separate"/>
    </w:r>
    <w:r>
      <w:rPr>
        <w:position w:val="110"/>
      </w:rPr>
      <w:t>1</w:t>
    </w:r>
    <w:r w:rsidRPr="00E60735">
      <w:rPr>
        <w:noProof/>
        <w:position w:val="1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FA58" w14:textId="77777777" w:rsidR="00AA73F1" w:rsidRDefault="00AA73F1" w:rsidP="009B0CD1">
      <w:pPr>
        <w:spacing w:line="240" w:lineRule="auto"/>
      </w:pPr>
      <w:r>
        <w:separator/>
      </w:r>
    </w:p>
  </w:footnote>
  <w:footnote w:type="continuationSeparator" w:id="0">
    <w:p w14:paraId="66059FEC" w14:textId="77777777" w:rsidR="00AA73F1" w:rsidRDefault="00AA73F1" w:rsidP="009B0C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258F" w14:textId="1476686C" w:rsidR="002C55DE" w:rsidRPr="008B46DB" w:rsidRDefault="00AE48A4" w:rsidP="00C61FF7">
    <w:pPr>
      <w:ind w:left="6048"/>
    </w:pPr>
    <w:r>
      <w:rPr>
        <w:noProof/>
      </w:rPr>
      <w:drawing>
        <wp:inline distT="0" distB="0" distL="0" distR="0" wp14:anchorId="1D90BE1E" wp14:editId="54DA584B">
          <wp:extent cx="2717800" cy="901065"/>
          <wp:effectExtent l="0" t="0" r="635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901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8A0"/>
    <w:multiLevelType w:val="multilevel"/>
    <w:tmpl w:val="5D6A105A"/>
    <w:styleLink w:val="NHSBNSSGBulletList"/>
    <w:lvl w:ilvl="0">
      <w:start w:val="1"/>
      <w:numFmt w:val="bullet"/>
      <w:pStyle w:val="Bullet"/>
      <w:lvlText w:val="–"/>
      <w:lvlJc w:val="left"/>
      <w:pPr>
        <w:tabs>
          <w:tab w:val="num" w:pos="227"/>
        </w:tabs>
        <w:ind w:left="227" w:hanging="227"/>
      </w:pPr>
      <w:rPr>
        <w:rFonts w:ascii="Arial" w:hAnsi="Arial" w:hint="default"/>
        <w:color w:val="AE2573" w:themeColor="accen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117F1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B4A3BE4"/>
    <w:multiLevelType w:val="hybridMultilevel"/>
    <w:tmpl w:val="8EC6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20B23"/>
    <w:multiLevelType w:val="hybridMultilevel"/>
    <w:tmpl w:val="308E468E"/>
    <w:lvl w:ilvl="0" w:tplc="244A9B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1685C"/>
    <w:multiLevelType w:val="hybridMultilevel"/>
    <w:tmpl w:val="8A60F78C"/>
    <w:lvl w:ilvl="0" w:tplc="80A4BCD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55203"/>
    <w:multiLevelType w:val="hybridMultilevel"/>
    <w:tmpl w:val="2B98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901C3"/>
    <w:multiLevelType w:val="hybridMultilevel"/>
    <w:tmpl w:val="AEDE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2721B"/>
    <w:multiLevelType w:val="multilevel"/>
    <w:tmpl w:val="C84494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7220A0"/>
    <w:multiLevelType w:val="hybridMultilevel"/>
    <w:tmpl w:val="253A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070CF"/>
    <w:multiLevelType w:val="hybridMultilevel"/>
    <w:tmpl w:val="804A1FD0"/>
    <w:lvl w:ilvl="0" w:tplc="B8648B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890B50"/>
    <w:multiLevelType w:val="multilevel"/>
    <w:tmpl w:val="5D6A105A"/>
    <w:numStyleLink w:val="NHSBNSSGBulletList"/>
  </w:abstractNum>
  <w:abstractNum w:abstractNumId="11" w15:restartNumberingAfterBreak="0">
    <w:nsid w:val="691E65D1"/>
    <w:multiLevelType w:val="hybridMultilevel"/>
    <w:tmpl w:val="7BE45266"/>
    <w:lvl w:ilvl="0" w:tplc="FD3ECD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CC4DB7"/>
    <w:multiLevelType w:val="hybridMultilevel"/>
    <w:tmpl w:val="6022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042067"/>
    <w:multiLevelType w:val="hybridMultilevel"/>
    <w:tmpl w:val="D3FC2786"/>
    <w:lvl w:ilvl="0" w:tplc="8126EE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7985787">
    <w:abstractNumId w:val="1"/>
  </w:num>
  <w:num w:numId="2" w16cid:durableId="2136634463">
    <w:abstractNumId w:val="13"/>
  </w:num>
  <w:num w:numId="3" w16cid:durableId="1525168319">
    <w:abstractNumId w:val="0"/>
  </w:num>
  <w:num w:numId="4" w16cid:durableId="1484472771">
    <w:abstractNumId w:val="10"/>
  </w:num>
  <w:num w:numId="5" w16cid:durableId="317534147">
    <w:abstractNumId w:val="11"/>
  </w:num>
  <w:num w:numId="6" w16cid:durableId="1161118816">
    <w:abstractNumId w:val="9"/>
  </w:num>
  <w:num w:numId="7" w16cid:durableId="1617559815">
    <w:abstractNumId w:val="4"/>
  </w:num>
  <w:num w:numId="8" w16cid:durableId="1800101518">
    <w:abstractNumId w:val="3"/>
  </w:num>
  <w:num w:numId="9" w16cid:durableId="409618324">
    <w:abstractNumId w:val="5"/>
  </w:num>
  <w:num w:numId="10" w16cid:durableId="1201937066">
    <w:abstractNumId w:val="7"/>
  </w:num>
  <w:num w:numId="11" w16cid:durableId="973483111">
    <w:abstractNumId w:val="6"/>
  </w:num>
  <w:num w:numId="12" w16cid:durableId="1054933796">
    <w:abstractNumId w:val="8"/>
  </w:num>
  <w:num w:numId="13" w16cid:durableId="410734309">
    <w:abstractNumId w:val="2"/>
  </w:num>
  <w:num w:numId="14" w16cid:durableId="1020686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C1"/>
    <w:rsid w:val="00023CF3"/>
    <w:rsid w:val="000332D3"/>
    <w:rsid w:val="00047FAB"/>
    <w:rsid w:val="000563BA"/>
    <w:rsid w:val="000836FD"/>
    <w:rsid w:val="000A38C1"/>
    <w:rsid w:val="000C1222"/>
    <w:rsid w:val="000C6B7E"/>
    <w:rsid w:val="000F1288"/>
    <w:rsid w:val="00102270"/>
    <w:rsid w:val="00137C7E"/>
    <w:rsid w:val="0015212F"/>
    <w:rsid w:val="001528A6"/>
    <w:rsid w:val="00154FD0"/>
    <w:rsid w:val="00163A9C"/>
    <w:rsid w:val="001722B9"/>
    <w:rsid w:val="001E352A"/>
    <w:rsid w:val="00200C78"/>
    <w:rsid w:val="00250E14"/>
    <w:rsid w:val="00275A36"/>
    <w:rsid w:val="00280538"/>
    <w:rsid w:val="002C55DE"/>
    <w:rsid w:val="002C5726"/>
    <w:rsid w:val="002C67E4"/>
    <w:rsid w:val="002E3823"/>
    <w:rsid w:val="002F6187"/>
    <w:rsid w:val="00315B9F"/>
    <w:rsid w:val="00342245"/>
    <w:rsid w:val="00346271"/>
    <w:rsid w:val="0034635C"/>
    <w:rsid w:val="00354ED5"/>
    <w:rsid w:val="00384A63"/>
    <w:rsid w:val="00392D94"/>
    <w:rsid w:val="00394BC4"/>
    <w:rsid w:val="003A268C"/>
    <w:rsid w:val="003D36CC"/>
    <w:rsid w:val="003F679E"/>
    <w:rsid w:val="00404036"/>
    <w:rsid w:val="0041064D"/>
    <w:rsid w:val="00416248"/>
    <w:rsid w:val="00417D21"/>
    <w:rsid w:val="00425472"/>
    <w:rsid w:val="004826E5"/>
    <w:rsid w:val="004A13E0"/>
    <w:rsid w:val="004A3F56"/>
    <w:rsid w:val="004C2E8B"/>
    <w:rsid w:val="004D4229"/>
    <w:rsid w:val="004E0A72"/>
    <w:rsid w:val="005203DD"/>
    <w:rsid w:val="00523ABE"/>
    <w:rsid w:val="005250E9"/>
    <w:rsid w:val="00525487"/>
    <w:rsid w:val="00527842"/>
    <w:rsid w:val="0056387F"/>
    <w:rsid w:val="00582B18"/>
    <w:rsid w:val="00582F7A"/>
    <w:rsid w:val="005939E7"/>
    <w:rsid w:val="00596E7D"/>
    <w:rsid w:val="005B46B0"/>
    <w:rsid w:val="005C14D7"/>
    <w:rsid w:val="005E3381"/>
    <w:rsid w:val="0060577A"/>
    <w:rsid w:val="00615C6D"/>
    <w:rsid w:val="00620CB8"/>
    <w:rsid w:val="00695012"/>
    <w:rsid w:val="00695327"/>
    <w:rsid w:val="006E377A"/>
    <w:rsid w:val="00705E07"/>
    <w:rsid w:val="00712131"/>
    <w:rsid w:val="00712379"/>
    <w:rsid w:val="00715FB6"/>
    <w:rsid w:val="007211E6"/>
    <w:rsid w:val="00722FCF"/>
    <w:rsid w:val="007278A0"/>
    <w:rsid w:val="007645E0"/>
    <w:rsid w:val="007702C1"/>
    <w:rsid w:val="00774913"/>
    <w:rsid w:val="00781199"/>
    <w:rsid w:val="00783E2C"/>
    <w:rsid w:val="00786886"/>
    <w:rsid w:val="007928F4"/>
    <w:rsid w:val="007B099E"/>
    <w:rsid w:val="00805512"/>
    <w:rsid w:val="008116AE"/>
    <w:rsid w:val="0082312A"/>
    <w:rsid w:val="0083086B"/>
    <w:rsid w:val="00835DF2"/>
    <w:rsid w:val="00876798"/>
    <w:rsid w:val="00891F15"/>
    <w:rsid w:val="008B46DB"/>
    <w:rsid w:val="008C5569"/>
    <w:rsid w:val="008E5A52"/>
    <w:rsid w:val="009130D0"/>
    <w:rsid w:val="00972451"/>
    <w:rsid w:val="00995A0F"/>
    <w:rsid w:val="009B0CD1"/>
    <w:rsid w:val="009C03A5"/>
    <w:rsid w:val="009F2C24"/>
    <w:rsid w:val="009F3E7C"/>
    <w:rsid w:val="00A138D4"/>
    <w:rsid w:val="00A2222D"/>
    <w:rsid w:val="00A268E1"/>
    <w:rsid w:val="00A57A65"/>
    <w:rsid w:val="00A823B3"/>
    <w:rsid w:val="00A8267B"/>
    <w:rsid w:val="00AA2AFB"/>
    <w:rsid w:val="00AA5324"/>
    <w:rsid w:val="00AA73F1"/>
    <w:rsid w:val="00AB26E4"/>
    <w:rsid w:val="00AC4EC6"/>
    <w:rsid w:val="00AD3C9B"/>
    <w:rsid w:val="00AE188C"/>
    <w:rsid w:val="00AE48A4"/>
    <w:rsid w:val="00AE4AC2"/>
    <w:rsid w:val="00AE60EA"/>
    <w:rsid w:val="00B17040"/>
    <w:rsid w:val="00B214B9"/>
    <w:rsid w:val="00B320D0"/>
    <w:rsid w:val="00B45609"/>
    <w:rsid w:val="00B656C9"/>
    <w:rsid w:val="00B863FA"/>
    <w:rsid w:val="00BB0898"/>
    <w:rsid w:val="00BB527F"/>
    <w:rsid w:val="00BD6F85"/>
    <w:rsid w:val="00BF1792"/>
    <w:rsid w:val="00BF56E5"/>
    <w:rsid w:val="00C17998"/>
    <w:rsid w:val="00C245B9"/>
    <w:rsid w:val="00C3132B"/>
    <w:rsid w:val="00C51371"/>
    <w:rsid w:val="00C5158D"/>
    <w:rsid w:val="00C61FF7"/>
    <w:rsid w:val="00C74E61"/>
    <w:rsid w:val="00C9594A"/>
    <w:rsid w:val="00CA16C4"/>
    <w:rsid w:val="00D02698"/>
    <w:rsid w:val="00D02B21"/>
    <w:rsid w:val="00D03719"/>
    <w:rsid w:val="00D22EB2"/>
    <w:rsid w:val="00D669E7"/>
    <w:rsid w:val="00D767C1"/>
    <w:rsid w:val="00DA1F4F"/>
    <w:rsid w:val="00DB6453"/>
    <w:rsid w:val="00DC792D"/>
    <w:rsid w:val="00DE6512"/>
    <w:rsid w:val="00DE7C58"/>
    <w:rsid w:val="00DF06A8"/>
    <w:rsid w:val="00DF2780"/>
    <w:rsid w:val="00DF5675"/>
    <w:rsid w:val="00E301B2"/>
    <w:rsid w:val="00E321B1"/>
    <w:rsid w:val="00E351F6"/>
    <w:rsid w:val="00E3761A"/>
    <w:rsid w:val="00E60735"/>
    <w:rsid w:val="00E676EB"/>
    <w:rsid w:val="00E907D8"/>
    <w:rsid w:val="00EA22B9"/>
    <w:rsid w:val="00EB207F"/>
    <w:rsid w:val="00EB76BB"/>
    <w:rsid w:val="00EE7354"/>
    <w:rsid w:val="00F00348"/>
    <w:rsid w:val="00F179E4"/>
    <w:rsid w:val="00F257CB"/>
    <w:rsid w:val="00F45F07"/>
    <w:rsid w:val="00F87E06"/>
    <w:rsid w:val="00F9350B"/>
    <w:rsid w:val="00F95B2C"/>
    <w:rsid w:val="00F97272"/>
    <w:rsid w:val="00FA175A"/>
    <w:rsid w:val="00FB07BC"/>
    <w:rsid w:val="00FB1BEF"/>
    <w:rsid w:val="00FB22EC"/>
    <w:rsid w:val="00FE06D5"/>
    <w:rsid w:val="00FE1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47445"/>
  <w15:docId w15:val="{4DA615A9-695E-41F9-BF25-BBED8DF8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9E"/>
    <w:pPr>
      <w:spacing w:after="0" w:line="276" w:lineRule="auto"/>
    </w:pPr>
    <w:rPr>
      <w:sz w:val="24"/>
    </w:rPr>
  </w:style>
  <w:style w:type="paragraph" w:styleId="Heading1">
    <w:name w:val="heading 1"/>
    <w:basedOn w:val="Normal"/>
    <w:next w:val="Normal"/>
    <w:link w:val="Heading1Char"/>
    <w:qFormat/>
    <w:rsid w:val="000F1288"/>
    <w:pPr>
      <w:pBdr>
        <w:bottom w:val="single" w:sz="4" w:space="15" w:color="auto"/>
      </w:pBdr>
      <w:outlineLvl w:val="0"/>
    </w:pPr>
    <w:rPr>
      <w:rFonts w:asciiTheme="majorHAnsi" w:hAnsiTheme="majorHAnsi" w:cstheme="majorHAnsi"/>
      <w:b/>
      <w:bCs/>
      <w:color w:val="003087"/>
      <w:sz w:val="40"/>
      <w:szCs w:val="40"/>
    </w:rPr>
  </w:style>
  <w:style w:type="paragraph" w:styleId="Heading2">
    <w:name w:val="heading 2"/>
    <w:basedOn w:val="Normal"/>
    <w:next w:val="Normal"/>
    <w:link w:val="Heading2Char"/>
    <w:qFormat/>
    <w:rsid w:val="004C2E8B"/>
    <w:pPr>
      <w:numPr>
        <w:numId w:val="7"/>
      </w:numPr>
      <w:spacing w:before="360"/>
      <w:outlineLvl w:val="1"/>
    </w:pPr>
    <w:rPr>
      <w:b/>
      <w:bCs/>
      <w:color w:val="003087"/>
    </w:rPr>
  </w:style>
  <w:style w:type="paragraph" w:styleId="Heading3">
    <w:name w:val="heading 3"/>
    <w:basedOn w:val="Normal"/>
    <w:next w:val="Normal"/>
    <w:link w:val="Heading3Char"/>
    <w:qFormat/>
    <w:rsid w:val="009130D0"/>
    <w:pPr>
      <w:keepNext/>
      <w:keepLines/>
      <w:spacing w:before="300"/>
      <w:outlineLvl w:val="2"/>
    </w:pPr>
    <w:rPr>
      <w:rFonts w:asciiTheme="majorHAnsi" w:eastAsiaTheme="majorEastAsia" w:hAnsiTheme="majorHAnsi" w:cstheme="majorBidi"/>
      <w:b/>
      <w:bCs/>
      <w:color w:val="003087"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5E07"/>
    <w:pPr>
      <w:pBdr>
        <w:bottom w:val="single" w:sz="4" w:space="6" w:color="AE2573" w:themeColor="accent2"/>
      </w:pBdr>
      <w:spacing w:line="240" w:lineRule="auto"/>
    </w:pPr>
    <w:rPr>
      <w:sz w:val="22"/>
    </w:rPr>
  </w:style>
  <w:style w:type="character" w:customStyle="1" w:styleId="HeaderChar">
    <w:name w:val="Header Char"/>
    <w:basedOn w:val="DefaultParagraphFont"/>
    <w:link w:val="Header"/>
    <w:rsid w:val="00705E07"/>
  </w:style>
  <w:style w:type="paragraph" w:styleId="Footer">
    <w:name w:val="footer"/>
    <w:basedOn w:val="Normal"/>
    <w:link w:val="FooterChar"/>
    <w:rsid w:val="00705E07"/>
    <w:pPr>
      <w:tabs>
        <w:tab w:val="right" w:pos="10206"/>
      </w:tabs>
      <w:spacing w:line="240" w:lineRule="auto"/>
    </w:pPr>
    <w:rPr>
      <w:sz w:val="22"/>
    </w:rPr>
  </w:style>
  <w:style w:type="character" w:customStyle="1" w:styleId="FooterChar">
    <w:name w:val="Footer Char"/>
    <w:basedOn w:val="DefaultParagraphFont"/>
    <w:link w:val="Footer"/>
    <w:rsid w:val="00705E07"/>
  </w:style>
  <w:style w:type="character" w:customStyle="1" w:styleId="Heading1Char">
    <w:name w:val="Heading 1 Char"/>
    <w:basedOn w:val="DefaultParagraphFont"/>
    <w:link w:val="Heading1"/>
    <w:rsid w:val="000F1288"/>
    <w:rPr>
      <w:rFonts w:asciiTheme="majorHAnsi" w:hAnsiTheme="majorHAnsi" w:cstheme="majorHAnsi"/>
      <w:b/>
      <w:bCs/>
      <w:color w:val="003087"/>
      <w:sz w:val="40"/>
      <w:szCs w:val="40"/>
    </w:rPr>
  </w:style>
  <w:style w:type="character" w:customStyle="1" w:styleId="Heading2Char">
    <w:name w:val="Heading 2 Char"/>
    <w:basedOn w:val="DefaultParagraphFont"/>
    <w:link w:val="Heading2"/>
    <w:rsid w:val="004C2E8B"/>
    <w:rPr>
      <w:b/>
      <w:bCs/>
      <w:color w:val="003087"/>
      <w:sz w:val="24"/>
    </w:rPr>
  </w:style>
  <w:style w:type="character" w:customStyle="1" w:styleId="Heading3Char">
    <w:name w:val="Heading 3 Char"/>
    <w:basedOn w:val="DefaultParagraphFont"/>
    <w:link w:val="Heading3"/>
    <w:rsid w:val="009130D0"/>
    <w:rPr>
      <w:rFonts w:asciiTheme="majorHAnsi" w:eastAsiaTheme="majorEastAsia" w:hAnsiTheme="majorHAnsi" w:cstheme="majorBidi"/>
      <w:b/>
      <w:bCs/>
      <w:color w:val="003087" w:themeColor="accent3"/>
    </w:rPr>
  </w:style>
  <w:style w:type="paragraph" w:styleId="Title">
    <w:name w:val="Title"/>
    <w:basedOn w:val="Normal"/>
    <w:next w:val="Normal"/>
    <w:link w:val="TitleChar"/>
    <w:qFormat/>
    <w:rsid w:val="000563BA"/>
    <w:pPr>
      <w:spacing w:after="300" w:line="240" w:lineRule="auto"/>
      <w:ind w:left="284" w:right="284"/>
      <w:contextualSpacing/>
    </w:pPr>
    <w:rPr>
      <w:rFonts w:asciiTheme="majorHAnsi" w:eastAsiaTheme="majorEastAsia" w:hAnsiTheme="majorHAnsi" w:cstheme="majorBidi"/>
      <w:b/>
      <w:color w:val="003087" w:themeColor="accent3"/>
      <w:kern w:val="28"/>
      <w:sz w:val="60"/>
      <w:szCs w:val="52"/>
    </w:rPr>
  </w:style>
  <w:style w:type="character" w:customStyle="1" w:styleId="TitleChar">
    <w:name w:val="Title Char"/>
    <w:basedOn w:val="DefaultParagraphFont"/>
    <w:link w:val="Title"/>
    <w:rsid w:val="000563BA"/>
    <w:rPr>
      <w:rFonts w:asciiTheme="majorHAnsi" w:eastAsiaTheme="majorEastAsia" w:hAnsiTheme="majorHAnsi" w:cstheme="majorBidi"/>
      <w:b/>
      <w:color w:val="003087" w:themeColor="accent3"/>
      <w:kern w:val="28"/>
      <w:sz w:val="60"/>
      <w:szCs w:val="52"/>
    </w:rPr>
  </w:style>
  <w:style w:type="paragraph" w:styleId="BalloonText">
    <w:name w:val="Balloon Text"/>
    <w:basedOn w:val="Normal"/>
    <w:link w:val="BalloonTextChar"/>
    <w:uiPriority w:val="99"/>
    <w:semiHidden/>
    <w:unhideWhenUsed/>
    <w:rsid w:val="007278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8A0"/>
    <w:rPr>
      <w:rFonts w:ascii="Tahoma" w:hAnsi="Tahoma" w:cs="Tahoma"/>
      <w:sz w:val="16"/>
      <w:szCs w:val="16"/>
    </w:rPr>
  </w:style>
  <w:style w:type="paragraph" w:customStyle="1" w:styleId="Introduction">
    <w:name w:val="Introduction"/>
    <w:basedOn w:val="Normal"/>
    <w:qFormat/>
    <w:rsid w:val="007278A0"/>
    <w:rPr>
      <w:sz w:val="28"/>
    </w:rPr>
  </w:style>
  <w:style w:type="paragraph" w:customStyle="1" w:styleId="Bullet">
    <w:name w:val="Bullet"/>
    <w:basedOn w:val="Normal"/>
    <w:qFormat/>
    <w:rsid w:val="004E0A72"/>
    <w:pPr>
      <w:numPr>
        <w:numId w:val="4"/>
      </w:numPr>
    </w:pPr>
  </w:style>
  <w:style w:type="numbering" w:customStyle="1" w:styleId="NHSBNSSGBulletList">
    <w:name w:val="NHS BNSSG Bullet List"/>
    <w:uiPriority w:val="99"/>
    <w:rsid w:val="004E0A72"/>
    <w:pPr>
      <w:numPr>
        <w:numId w:val="3"/>
      </w:numPr>
    </w:pPr>
  </w:style>
  <w:style w:type="table" w:styleId="TableGrid">
    <w:name w:val="Table Grid"/>
    <w:basedOn w:val="TableNormal"/>
    <w:uiPriority w:val="59"/>
    <w:unhideWhenUsed/>
    <w:rsid w:val="0052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695327"/>
    <w:pPr>
      <w:spacing w:line="240" w:lineRule="auto"/>
    </w:pPr>
    <w:rPr>
      <w:rFonts w:ascii="Arial" w:eastAsia="Times New Roman" w:hAnsi="Arial" w:cs="Arial"/>
      <w:color w:val="000000" w:themeColor="text1"/>
      <w:szCs w:val="24"/>
      <w:lang w:eastAsia="en-GB"/>
    </w:rPr>
  </w:style>
  <w:style w:type="character" w:customStyle="1" w:styleId="BodytextChar">
    <w:name w:val="Body text Char"/>
    <w:basedOn w:val="DefaultParagraphFont"/>
    <w:link w:val="BodyText1"/>
    <w:rsid w:val="00695327"/>
    <w:rPr>
      <w:rFonts w:ascii="Arial" w:eastAsia="Times New Roman" w:hAnsi="Arial" w:cs="Arial"/>
      <w:color w:val="000000" w:themeColor="text1"/>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715FB6"/>
    <w:pPr>
      <w:ind w:left="720"/>
      <w:contextualSpacing/>
    </w:pPr>
  </w:style>
  <w:style w:type="character" w:styleId="CommentReference">
    <w:name w:val="annotation reference"/>
    <w:basedOn w:val="DefaultParagraphFont"/>
    <w:uiPriority w:val="99"/>
    <w:semiHidden/>
    <w:unhideWhenUsed/>
    <w:rsid w:val="00102270"/>
    <w:rPr>
      <w:sz w:val="16"/>
      <w:szCs w:val="16"/>
    </w:rPr>
  </w:style>
  <w:style w:type="paragraph" w:styleId="CommentText">
    <w:name w:val="annotation text"/>
    <w:basedOn w:val="Normal"/>
    <w:link w:val="CommentTextChar"/>
    <w:uiPriority w:val="99"/>
    <w:semiHidden/>
    <w:unhideWhenUsed/>
    <w:rsid w:val="00102270"/>
    <w:pPr>
      <w:spacing w:line="240" w:lineRule="auto"/>
    </w:pPr>
    <w:rPr>
      <w:sz w:val="20"/>
      <w:szCs w:val="20"/>
    </w:rPr>
  </w:style>
  <w:style w:type="character" w:customStyle="1" w:styleId="CommentTextChar">
    <w:name w:val="Comment Text Char"/>
    <w:basedOn w:val="DefaultParagraphFont"/>
    <w:link w:val="CommentText"/>
    <w:uiPriority w:val="99"/>
    <w:semiHidden/>
    <w:rsid w:val="00102270"/>
    <w:rPr>
      <w:sz w:val="20"/>
      <w:szCs w:val="20"/>
    </w:rPr>
  </w:style>
  <w:style w:type="paragraph" w:styleId="CommentSubject">
    <w:name w:val="annotation subject"/>
    <w:basedOn w:val="CommentText"/>
    <w:next w:val="CommentText"/>
    <w:link w:val="CommentSubjectChar"/>
    <w:uiPriority w:val="99"/>
    <w:semiHidden/>
    <w:unhideWhenUsed/>
    <w:rsid w:val="00102270"/>
    <w:rPr>
      <w:b/>
      <w:bCs/>
    </w:rPr>
  </w:style>
  <w:style w:type="character" w:customStyle="1" w:styleId="CommentSubjectChar">
    <w:name w:val="Comment Subject Char"/>
    <w:basedOn w:val="CommentTextChar"/>
    <w:link w:val="CommentSubject"/>
    <w:uiPriority w:val="99"/>
    <w:semiHidden/>
    <w:rsid w:val="00102270"/>
    <w:rPr>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5C14D7"/>
    <w:rPr>
      <w:sz w:val="24"/>
    </w:rPr>
  </w:style>
  <w:style w:type="paragraph" w:styleId="NoSpacing">
    <w:name w:val="No Spacing"/>
    <w:uiPriority w:val="1"/>
    <w:qFormat/>
    <w:rsid w:val="005C14D7"/>
    <w:pPr>
      <w:spacing w:after="0" w:line="240" w:lineRule="auto"/>
    </w:pPr>
    <w:rPr>
      <w:rFonts w:ascii="Arial" w:eastAsiaTheme="minorEastAsia" w:hAnsi="Arial" w:cs="Times New Roman"/>
      <w:bCs/>
      <w:sz w:val="24"/>
      <w:szCs w:val="26"/>
    </w:rPr>
  </w:style>
  <w:style w:type="paragraph" w:styleId="BodyText2">
    <w:name w:val="Body Text 2"/>
    <w:basedOn w:val="BodyText"/>
    <w:link w:val="BodyText2Char"/>
    <w:qFormat/>
    <w:rsid w:val="00891F15"/>
    <w:pPr>
      <w:spacing w:after="280" w:line="360" w:lineRule="atLeast"/>
    </w:pPr>
    <w:rPr>
      <w:rFonts w:ascii="Arial" w:hAnsi="Arial"/>
      <w:color w:val="231F20"/>
      <w:szCs w:val="24"/>
    </w:rPr>
  </w:style>
  <w:style w:type="character" w:customStyle="1" w:styleId="BodyText2Char">
    <w:name w:val="Body Text 2 Char"/>
    <w:basedOn w:val="DefaultParagraphFont"/>
    <w:link w:val="BodyText2"/>
    <w:rsid w:val="00891F15"/>
    <w:rPr>
      <w:rFonts w:ascii="Arial" w:hAnsi="Arial"/>
      <w:color w:val="231F20"/>
      <w:sz w:val="24"/>
      <w:szCs w:val="24"/>
    </w:rPr>
  </w:style>
  <w:style w:type="paragraph" w:styleId="BodyText">
    <w:name w:val="Body Text"/>
    <w:basedOn w:val="Normal"/>
    <w:link w:val="BodyTextChar0"/>
    <w:uiPriority w:val="99"/>
    <w:semiHidden/>
    <w:unhideWhenUsed/>
    <w:rsid w:val="00891F15"/>
    <w:pPr>
      <w:spacing w:after="120"/>
    </w:pPr>
  </w:style>
  <w:style w:type="character" w:customStyle="1" w:styleId="BodyTextChar0">
    <w:name w:val="Body Text Char"/>
    <w:basedOn w:val="DefaultParagraphFont"/>
    <w:link w:val="BodyText"/>
    <w:uiPriority w:val="99"/>
    <w:semiHidden/>
    <w:rsid w:val="00891F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jal\2021\Aug%202021\Word\Ft\Terms%20of%20reference%20Templat%20-%20January%202019\Terms%20of%20reference%20Templat%20-%20January%202019.dotx" TargetMode="External"/></Relationships>
</file>

<file path=word/theme/theme1.xml><?xml version="1.0" encoding="utf-8"?>
<a:theme xmlns:a="http://schemas.openxmlformats.org/drawingml/2006/main" name="Office Theme">
  <a:themeElements>
    <a:clrScheme name="NHS BNSSG 3-18">
      <a:dk1>
        <a:sysClr val="windowText" lastClr="000000"/>
      </a:dk1>
      <a:lt1>
        <a:sysClr val="window" lastClr="FFFFFF"/>
      </a:lt1>
      <a:dk2>
        <a:srgbClr val="425563"/>
      </a:dk2>
      <a:lt2>
        <a:srgbClr val="E8EDEE"/>
      </a:lt2>
      <a:accent1>
        <a:srgbClr val="005EB8"/>
      </a:accent1>
      <a:accent2>
        <a:srgbClr val="AE2573"/>
      </a:accent2>
      <a:accent3>
        <a:srgbClr val="003087"/>
      </a:accent3>
      <a:accent4>
        <a:srgbClr val="7C2855"/>
      </a:accent4>
      <a:accent5>
        <a:srgbClr val="41B6E6"/>
      </a:accent5>
      <a:accent6>
        <a:srgbClr val="00A499"/>
      </a:accent6>
      <a:hlink>
        <a:srgbClr val="000000"/>
      </a:hlink>
      <a:folHlink>
        <a:srgbClr val="005EB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4" ma:contentTypeDescription="Create a new document." ma:contentTypeScope="" ma:versionID="e653c8050cb6df7ce6e6850dde87b611">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a1296f3afd3245bc6ca01f28dd614784"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6A626-3499-4D63-B109-90BCC89C0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597E4-0220-4CAC-9B57-30AFA6ECA0C0}">
  <ds:schemaRefs>
    <ds:schemaRef ds:uri="http://schemas.microsoft.com/sharepoint/v3/contenttype/forms"/>
  </ds:schemaRefs>
</ds:datastoreItem>
</file>

<file path=customXml/itemProps3.xml><?xml version="1.0" encoding="utf-8"?>
<ds:datastoreItem xmlns:ds="http://schemas.openxmlformats.org/officeDocument/2006/customXml" ds:itemID="{9556357D-BC8A-42A5-8D5E-1E63563F0359}">
  <ds:schemaRefs>
    <ds:schemaRef ds:uri="http://schemas.microsoft.com/office/2006/metadata/properties"/>
    <ds:schemaRef ds:uri="http://schemas.microsoft.com/office/infopath/2007/PartnerControls"/>
    <ds:schemaRef ds:uri="d90a9632-a870-49ae-9378-225bd5c60b0a"/>
  </ds:schemaRefs>
</ds:datastoreItem>
</file>

<file path=customXml/itemProps4.xml><?xml version="1.0" encoding="utf-8"?>
<ds:datastoreItem xmlns:ds="http://schemas.openxmlformats.org/officeDocument/2006/customXml" ds:itemID="{F805D352-F130-4CCE-BCF9-6F8E9205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Terms of reference Templat - January 2019.dotx</Template>
  <TotalTime>0</TotalTime>
  <Pages>5</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Terms of reference Template - January 2019</vt:lpstr>
    </vt:vector>
  </TitlesOfParts>
  <Company>NHS South West Commissioning Support</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 - January 2019</dc:title>
  <dc:creator>Manisha Dongarkar</dc:creator>
  <cp:lastModifiedBy>ROBINSON, Claire (NHS BRISTOL, NORTH SOMERSET AND SOUTH GLOUCESTERSHIRE CCG)</cp:lastModifiedBy>
  <cp:revision>2</cp:revision>
  <cp:lastPrinted>2018-03-07T09:22:00Z</cp:lastPrinted>
  <dcterms:created xsi:type="dcterms:W3CDTF">2022-07-01T10:36:00Z</dcterms:created>
  <dcterms:modified xsi:type="dcterms:W3CDTF">2022-07-01T10:36:00Z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