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27" w:rsidRDefault="00695327" w:rsidP="00C03950">
      <w:pPr>
        <w:jc w:val="both"/>
      </w:pPr>
    </w:p>
    <w:p w:rsidR="00695327" w:rsidRDefault="002E5F22" w:rsidP="00C03950">
      <w:pPr>
        <w:pStyle w:val="Heading1"/>
        <w:jc w:val="both"/>
      </w:pPr>
      <w:r>
        <w:t>Costing for external evaluation support</w:t>
      </w:r>
    </w:p>
    <w:p w:rsidR="00695327" w:rsidRPr="002E5F22" w:rsidRDefault="00695327" w:rsidP="00C03950">
      <w:pPr>
        <w:pStyle w:val="Heading3"/>
        <w:spacing w:before="0"/>
        <w:jc w:val="both"/>
        <w:rPr>
          <w:b w:val="0"/>
        </w:rPr>
      </w:pPr>
      <w:r w:rsidRPr="00033377">
        <w:t>Date:</w:t>
      </w:r>
      <w:r>
        <w:t xml:space="preserve"> </w:t>
      </w:r>
      <w:r w:rsidR="00AE44DB">
        <w:t>7</w:t>
      </w:r>
      <w:r w:rsidR="002E5F22" w:rsidRPr="002E5F22">
        <w:rPr>
          <w:vertAlign w:val="superscript"/>
        </w:rPr>
        <w:t>th</w:t>
      </w:r>
      <w:r w:rsidR="002E5F22">
        <w:t xml:space="preserve"> Ju</w:t>
      </w:r>
      <w:r w:rsidR="00A32C56">
        <w:t>ly</w:t>
      </w:r>
      <w:r w:rsidR="002E5F22">
        <w:t xml:space="preserve"> 2020</w:t>
      </w:r>
    </w:p>
    <w:p w:rsidR="00695327" w:rsidRPr="00033377" w:rsidRDefault="00695327" w:rsidP="00C03950">
      <w:pPr>
        <w:pStyle w:val="Heading3"/>
        <w:spacing w:before="0"/>
        <w:jc w:val="both"/>
      </w:pPr>
      <w:r>
        <w:t>Author</w:t>
      </w:r>
      <w:r w:rsidR="00E31B34">
        <w:t>s</w:t>
      </w:r>
      <w:r w:rsidRPr="00033377">
        <w:t>:</w:t>
      </w:r>
      <w:r w:rsidR="002E5F22">
        <w:t xml:space="preserve"> Jude Hancock</w:t>
      </w:r>
      <w:r w:rsidR="00E31B34">
        <w:t xml:space="preserve"> and Kat Bagi</w:t>
      </w:r>
    </w:p>
    <w:p w:rsidR="00695327" w:rsidRPr="0014737E" w:rsidRDefault="00695327" w:rsidP="00C03950">
      <w:pPr>
        <w:pBdr>
          <w:bottom w:val="single" w:sz="12" w:space="0" w:color="auto"/>
        </w:pBdr>
        <w:jc w:val="both"/>
        <w:rPr>
          <w:rFonts w:cs="Arial"/>
          <w:b/>
        </w:rPr>
      </w:pPr>
    </w:p>
    <w:p w:rsidR="00695327" w:rsidRDefault="00695327" w:rsidP="00C03950">
      <w:pPr>
        <w:pStyle w:val="Heading2"/>
        <w:spacing w:before="0"/>
        <w:jc w:val="both"/>
      </w:pPr>
    </w:p>
    <w:p w:rsidR="00695327" w:rsidRDefault="00695327" w:rsidP="00C03950">
      <w:pPr>
        <w:pStyle w:val="Heading2"/>
        <w:numPr>
          <w:ilvl w:val="0"/>
          <w:numId w:val="5"/>
        </w:numPr>
        <w:jc w:val="both"/>
      </w:pPr>
      <w:r>
        <w:t>Purpose</w:t>
      </w:r>
    </w:p>
    <w:p w:rsidR="00695327" w:rsidRDefault="002E5F22" w:rsidP="00C03950">
      <w:pPr>
        <w:pStyle w:val="BodyText1"/>
        <w:jc w:val="both"/>
      </w:pPr>
      <w:r>
        <w:t xml:space="preserve">This document gives you an idea of the financial cost involved in obtaining external support for </w:t>
      </w:r>
      <w:r w:rsidR="0076506F">
        <w:t xml:space="preserve">your </w:t>
      </w:r>
      <w:r>
        <w:t xml:space="preserve">evaluation. </w:t>
      </w:r>
    </w:p>
    <w:p w:rsidR="00695327" w:rsidRDefault="00695327" w:rsidP="00C03950">
      <w:pPr>
        <w:pStyle w:val="Heading2"/>
        <w:numPr>
          <w:ilvl w:val="0"/>
          <w:numId w:val="5"/>
        </w:numPr>
        <w:jc w:val="both"/>
      </w:pPr>
      <w:r>
        <w:t>Background</w:t>
      </w:r>
    </w:p>
    <w:p w:rsidR="002E5F22" w:rsidRDefault="002E5F22" w:rsidP="00C03950">
      <w:pPr>
        <w:jc w:val="both"/>
      </w:pPr>
      <w:r>
        <w:t>In order to procure external support for evaluation you need a clear idea of;</w:t>
      </w:r>
    </w:p>
    <w:p w:rsidR="002E5F22" w:rsidRDefault="002E5F22" w:rsidP="00C03950">
      <w:pPr>
        <w:pStyle w:val="ListParagraph"/>
        <w:numPr>
          <w:ilvl w:val="0"/>
          <w:numId w:val="6"/>
        </w:numPr>
        <w:jc w:val="both"/>
      </w:pPr>
      <w:r>
        <w:t xml:space="preserve">What support you require, the </w:t>
      </w:r>
      <w:r w:rsidRPr="002E5F22">
        <w:t>20.02.28 Evaluation tender - specification template.docx</w:t>
      </w:r>
      <w:r>
        <w:t xml:space="preserve"> available on the </w:t>
      </w:r>
      <w:hyperlink r:id="rId8" w:history="1">
        <w:r w:rsidRPr="002E5F22">
          <w:rPr>
            <w:rStyle w:val="Hyperlink"/>
          </w:rPr>
          <w:t>hub</w:t>
        </w:r>
      </w:hyperlink>
      <w:r w:rsidR="00A32C56">
        <w:t xml:space="preserve"> and</w:t>
      </w:r>
      <w:r>
        <w:t xml:space="preserve"> </w:t>
      </w:r>
      <w:hyperlink r:id="rId9" w:history="1">
        <w:r w:rsidRPr="002E5F22">
          <w:rPr>
            <w:rStyle w:val="Hyperlink"/>
          </w:rPr>
          <w:t>NHS Futures System Change Command page</w:t>
        </w:r>
      </w:hyperlink>
      <w:r w:rsidR="00A32C56">
        <w:rPr>
          <w:rStyle w:val="Hyperlink"/>
        </w:rPr>
        <w:t>.</w:t>
      </w:r>
      <w:r w:rsidR="00A32C56" w:rsidRPr="00A32C56">
        <w:rPr>
          <w:rStyle w:val="Hyperlink"/>
          <w:u w:val="none"/>
        </w:rPr>
        <w:t xml:space="preserve"> </w:t>
      </w:r>
      <w:r w:rsidR="00A32C56">
        <w:t>T</w:t>
      </w:r>
      <w:r>
        <w:t xml:space="preserve">he </w:t>
      </w:r>
      <w:hyperlink r:id="rId10" w:history="1">
        <w:r w:rsidRPr="002E5F22">
          <w:rPr>
            <w:rStyle w:val="Hyperlink"/>
          </w:rPr>
          <w:t>Research and Evidence team</w:t>
        </w:r>
      </w:hyperlink>
      <w:r>
        <w:t xml:space="preserve"> can help you plan this</w:t>
      </w:r>
    </w:p>
    <w:p w:rsidR="002E5F22" w:rsidRDefault="002E5F22" w:rsidP="00C03950">
      <w:pPr>
        <w:pStyle w:val="ListParagraph"/>
        <w:numPr>
          <w:ilvl w:val="0"/>
          <w:numId w:val="6"/>
        </w:numPr>
        <w:jc w:val="both"/>
      </w:pPr>
      <w:r>
        <w:t>How much budget you have to pay for this support</w:t>
      </w:r>
    </w:p>
    <w:p w:rsidR="002E5F22" w:rsidRDefault="002E5F22" w:rsidP="00C03950">
      <w:pPr>
        <w:pStyle w:val="ListParagraph"/>
        <w:jc w:val="both"/>
      </w:pPr>
    </w:p>
    <w:p w:rsidR="002E5F22" w:rsidRPr="002E5F22" w:rsidRDefault="002E5F22" w:rsidP="00C03950">
      <w:pPr>
        <w:jc w:val="both"/>
      </w:pPr>
      <w:r>
        <w:t>There are many external organisations that will bid for evaluation Tenders. The South, Central and West Commissioning Support Unit (SCWCSU) can help with procurement of an evaluation using the In-Tend system.</w:t>
      </w:r>
      <w:r w:rsidR="00A32C56">
        <w:t xml:space="preserve"> For smaller value tender you can post your evaluation tender on the Evaluation Online Network which will be seen by evaluators across the South West, </w:t>
      </w:r>
      <w:hyperlink r:id="rId11" w:history="1">
        <w:r w:rsidR="00A32C56" w:rsidRPr="00A85F2D">
          <w:rPr>
            <w:rStyle w:val="Hyperlink"/>
          </w:rPr>
          <w:t>EVALUATIONONLINENETWORK-WEST@JISCMAIL.AC.UK</w:t>
        </w:r>
      </w:hyperlink>
      <w:r w:rsidR="00A32C56">
        <w:t xml:space="preserve"> – don’t forget to include your contact details!</w:t>
      </w:r>
    </w:p>
    <w:p w:rsidR="00695327" w:rsidRDefault="0026704F" w:rsidP="00C03950">
      <w:pPr>
        <w:pStyle w:val="Heading3"/>
        <w:jc w:val="both"/>
      </w:pPr>
      <w:r>
        <w:t xml:space="preserve">University support </w:t>
      </w:r>
    </w:p>
    <w:p w:rsidR="00631B60" w:rsidRDefault="00631B60" w:rsidP="003364F9">
      <w:pPr>
        <w:pStyle w:val="BodyText1"/>
        <w:spacing w:line="276" w:lineRule="auto"/>
        <w:jc w:val="both"/>
      </w:pPr>
      <w:r>
        <w:t>Universities will want to add 20% VAT to their fees, so you need to make it clear whether they can do this or whether they must bid within the budget you specify in the tender</w:t>
      </w:r>
      <w:r w:rsidR="00695327">
        <w:t>.</w:t>
      </w:r>
      <w:r>
        <w:t xml:space="preserve"> The</w:t>
      </w:r>
      <w:r w:rsidR="00DE1E43">
        <w:t xml:space="preserve"> type of</w:t>
      </w:r>
      <w:r>
        <w:t xml:space="preserve"> support you require will make a difference to the staff grade that will be required for the work</w:t>
      </w:r>
      <w:r w:rsidR="00DE1E43">
        <w:t xml:space="preserve"> and therefore the cost</w:t>
      </w:r>
      <w:r>
        <w:t xml:space="preserve">. Examples of cost per hour are shown in Table </w:t>
      </w:r>
      <w:proofErr w:type="gramStart"/>
      <w:r>
        <w:t>1</w:t>
      </w:r>
      <w:r w:rsidR="008167D7">
        <w:t>,</w:t>
      </w:r>
      <w:proofErr w:type="gramEnd"/>
      <w:r w:rsidR="008167D7">
        <w:t xml:space="preserve"> remember VAT at 20% will need to be added</w:t>
      </w:r>
      <w:r>
        <w:t>.</w:t>
      </w:r>
      <w:r w:rsidR="008167D7">
        <w:t xml:space="preserve"> For example, a Health Economist at a minimum would cost £76.80 per/hr (£64 without VAT).</w:t>
      </w:r>
    </w:p>
    <w:p w:rsidR="00631B60" w:rsidRDefault="00631B60" w:rsidP="00C03950">
      <w:pPr>
        <w:pStyle w:val="BodyText1"/>
        <w:jc w:val="both"/>
      </w:pPr>
    </w:p>
    <w:p w:rsidR="00DE1E43" w:rsidRPr="00DE1E43" w:rsidRDefault="00DE1E43" w:rsidP="00C03950">
      <w:pPr>
        <w:pStyle w:val="BodyText1"/>
        <w:jc w:val="both"/>
        <w:rPr>
          <w:b/>
        </w:rPr>
      </w:pPr>
      <w:proofErr w:type="gramStart"/>
      <w:r w:rsidRPr="00DE1E43">
        <w:rPr>
          <w:b/>
        </w:rPr>
        <w:t>Table 1.</w:t>
      </w:r>
      <w:proofErr w:type="gramEnd"/>
      <w:r w:rsidRPr="00DE1E43">
        <w:rPr>
          <w:b/>
        </w:rPr>
        <w:t xml:space="preserve"> University support costs</w:t>
      </w:r>
      <w:r w:rsidR="00FE0932">
        <w:rPr>
          <w:b/>
        </w:rPr>
        <w:t xml:space="preserve"> (excluding VAT)</w:t>
      </w:r>
    </w:p>
    <w:p w:rsidR="00DE1E43" w:rsidRDefault="00DE1E43" w:rsidP="00C03950">
      <w:pPr>
        <w:pStyle w:val="BodyText1"/>
        <w:jc w:val="both"/>
      </w:pPr>
    </w:p>
    <w:tbl>
      <w:tblPr>
        <w:tblStyle w:val="TableGrid"/>
        <w:tblW w:w="0" w:type="auto"/>
        <w:tblInd w:w="108" w:type="dxa"/>
        <w:tblLook w:val="04A0" w:firstRow="1" w:lastRow="0" w:firstColumn="1" w:lastColumn="0" w:noHBand="0" w:noVBand="1"/>
      </w:tblPr>
      <w:tblGrid>
        <w:gridCol w:w="2670"/>
        <w:gridCol w:w="2835"/>
        <w:gridCol w:w="3424"/>
      </w:tblGrid>
      <w:tr w:rsidR="00DE1E43" w:rsidTr="00DE1E43">
        <w:tc>
          <w:tcPr>
            <w:tcW w:w="2670" w:type="dxa"/>
          </w:tcPr>
          <w:p w:rsidR="00DE1E43" w:rsidRPr="00DE1E43" w:rsidRDefault="00DE1E43" w:rsidP="00C03950">
            <w:pPr>
              <w:pStyle w:val="BodyText1"/>
              <w:jc w:val="both"/>
              <w:rPr>
                <w:b/>
              </w:rPr>
            </w:pPr>
            <w:r w:rsidRPr="00DE1E43">
              <w:rPr>
                <w:b/>
              </w:rPr>
              <w:t>Staff type</w:t>
            </w:r>
          </w:p>
        </w:tc>
        <w:tc>
          <w:tcPr>
            <w:tcW w:w="2835" w:type="dxa"/>
          </w:tcPr>
          <w:p w:rsidR="00DE1E43" w:rsidRPr="00DE1E43" w:rsidRDefault="00DE1E43" w:rsidP="00DE1E43">
            <w:pPr>
              <w:pStyle w:val="BodyText1"/>
              <w:jc w:val="center"/>
              <w:rPr>
                <w:b/>
              </w:rPr>
            </w:pPr>
            <w:r w:rsidRPr="00DE1E43">
              <w:rPr>
                <w:b/>
              </w:rPr>
              <w:t>UWE cost per/hr</w:t>
            </w:r>
          </w:p>
        </w:tc>
        <w:tc>
          <w:tcPr>
            <w:tcW w:w="3424" w:type="dxa"/>
          </w:tcPr>
          <w:p w:rsidR="00DE1E43" w:rsidRPr="00DE1E43" w:rsidRDefault="00DE1E43" w:rsidP="00DE1E43">
            <w:pPr>
              <w:pStyle w:val="BodyText1"/>
              <w:jc w:val="center"/>
              <w:rPr>
                <w:b/>
              </w:rPr>
            </w:pPr>
            <w:r w:rsidRPr="00DE1E43">
              <w:rPr>
                <w:b/>
              </w:rPr>
              <w:t>University of Bristol per/hr</w:t>
            </w:r>
          </w:p>
        </w:tc>
      </w:tr>
      <w:tr w:rsidR="00DE1E43" w:rsidTr="00DE1E43">
        <w:tc>
          <w:tcPr>
            <w:tcW w:w="2670" w:type="dxa"/>
          </w:tcPr>
          <w:p w:rsidR="00DE1E43" w:rsidRDefault="00DE1E43" w:rsidP="00C03950">
            <w:pPr>
              <w:pStyle w:val="BodyText1"/>
              <w:jc w:val="both"/>
            </w:pPr>
            <w:r>
              <w:t>Health Economist</w:t>
            </w:r>
          </w:p>
        </w:tc>
        <w:tc>
          <w:tcPr>
            <w:tcW w:w="2835" w:type="dxa"/>
          </w:tcPr>
          <w:p w:rsidR="00DE1E43" w:rsidRDefault="00DE1E43" w:rsidP="00DE1E43">
            <w:pPr>
              <w:pStyle w:val="BodyText1"/>
              <w:jc w:val="center"/>
            </w:pPr>
            <w:r>
              <w:t>£</w:t>
            </w:r>
            <w:r w:rsidR="00C0537C">
              <w:t>65</w:t>
            </w:r>
            <w:r>
              <w:t xml:space="preserve"> - £</w:t>
            </w:r>
            <w:r w:rsidR="00FE0932">
              <w:t>73</w:t>
            </w:r>
          </w:p>
        </w:tc>
        <w:tc>
          <w:tcPr>
            <w:tcW w:w="3424" w:type="dxa"/>
          </w:tcPr>
          <w:p w:rsidR="00DE1E43" w:rsidRDefault="00DE1E43" w:rsidP="00DE1E43">
            <w:pPr>
              <w:pStyle w:val="BodyText1"/>
              <w:jc w:val="center"/>
            </w:pPr>
            <w:r>
              <w:t>£</w:t>
            </w:r>
            <w:r w:rsidR="003C6E4B">
              <w:t>64</w:t>
            </w:r>
            <w:r>
              <w:t xml:space="preserve"> - £</w:t>
            </w:r>
            <w:r w:rsidR="003C6E4B">
              <w:t>71</w:t>
            </w:r>
          </w:p>
        </w:tc>
        <w:bookmarkStart w:id="0" w:name="_GoBack"/>
        <w:bookmarkEnd w:id="0"/>
      </w:tr>
      <w:tr w:rsidR="00DE1E43" w:rsidTr="00DE1E43">
        <w:tc>
          <w:tcPr>
            <w:tcW w:w="2670" w:type="dxa"/>
          </w:tcPr>
          <w:p w:rsidR="00DE1E43" w:rsidRDefault="00DE1E43" w:rsidP="00C03950">
            <w:pPr>
              <w:pStyle w:val="BodyText1"/>
              <w:jc w:val="both"/>
            </w:pPr>
            <w:r>
              <w:t>Research Assistant</w:t>
            </w:r>
          </w:p>
        </w:tc>
        <w:tc>
          <w:tcPr>
            <w:tcW w:w="2835" w:type="dxa"/>
          </w:tcPr>
          <w:p w:rsidR="00DE1E43" w:rsidRDefault="00DE1E43" w:rsidP="0024487B">
            <w:pPr>
              <w:pStyle w:val="BodyText1"/>
              <w:jc w:val="center"/>
            </w:pPr>
            <w:r>
              <w:t>£</w:t>
            </w:r>
            <w:r w:rsidR="00FE0932">
              <w:t>65</w:t>
            </w:r>
            <w:r>
              <w:t xml:space="preserve"> - £</w:t>
            </w:r>
            <w:r w:rsidR="00FE0932">
              <w:t>73</w:t>
            </w:r>
          </w:p>
        </w:tc>
        <w:tc>
          <w:tcPr>
            <w:tcW w:w="3424" w:type="dxa"/>
          </w:tcPr>
          <w:p w:rsidR="00DE1E43" w:rsidRDefault="00DE1E43" w:rsidP="0024487B">
            <w:pPr>
              <w:pStyle w:val="BodyText1"/>
              <w:jc w:val="center"/>
            </w:pPr>
            <w:r>
              <w:t>£</w:t>
            </w:r>
            <w:r w:rsidR="003C6E4B">
              <w:t>64</w:t>
            </w:r>
            <w:r>
              <w:t xml:space="preserve"> - £</w:t>
            </w:r>
            <w:r w:rsidR="003C6E4B">
              <w:t>71</w:t>
            </w:r>
          </w:p>
        </w:tc>
      </w:tr>
      <w:tr w:rsidR="00DE1E43" w:rsidTr="00DE1E43">
        <w:tc>
          <w:tcPr>
            <w:tcW w:w="2670" w:type="dxa"/>
          </w:tcPr>
          <w:p w:rsidR="00DE1E43" w:rsidRDefault="00DE1E43" w:rsidP="00C03950">
            <w:pPr>
              <w:pStyle w:val="BodyText1"/>
              <w:jc w:val="both"/>
            </w:pPr>
            <w:r>
              <w:t>Professor</w:t>
            </w:r>
          </w:p>
        </w:tc>
        <w:tc>
          <w:tcPr>
            <w:tcW w:w="2835" w:type="dxa"/>
          </w:tcPr>
          <w:p w:rsidR="00DE1E43" w:rsidRDefault="00DE1E43" w:rsidP="00C0537C">
            <w:pPr>
              <w:pStyle w:val="BodyText1"/>
              <w:jc w:val="center"/>
            </w:pPr>
            <w:r>
              <w:t>£</w:t>
            </w:r>
            <w:r w:rsidR="00C0537C">
              <w:t>89</w:t>
            </w:r>
            <w:r>
              <w:t xml:space="preserve"> - £</w:t>
            </w:r>
            <w:r w:rsidR="008167D7">
              <w:t>TBC</w:t>
            </w:r>
          </w:p>
        </w:tc>
        <w:tc>
          <w:tcPr>
            <w:tcW w:w="3424" w:type="dxa"/>
          </w:tcPr>
          <w:p w:rsidR="00DE1E43" w:rsidRDefault="00DE1E43" w:rsidP="0024487B">
            <w:pPr>
              <w:pStyle w:val="BodyText1"/>
              <w:jc w:val="center"/>
            </w:pPr>
            <w:r>
              <w:t>£</w:t>
            </w:r>
            <w:r w:rsidR="003C6E4B">
              <w:t>89</w:t>
            </w:r>
            <w:r>
              <w:t xml:space="preserve"> - £</w:t>
            </w:r>
            <w:r w:rsidR="003C6E4B">
              <w:t>132</w:t>
            </w:r>
          </w:p>
        </w:tc>
      </w:tr>
    </w:tbl>
    <w:p w:rsidR="00695327" w:rsidRDefault="00631B60" w:rsidP="00DE1E43">
      <w:pPr>
        <w:pStyle w:val="BodyText1"/>
        <w:jc w:val="both"/>
      </w:pPr>
      <w:r>
        <w:t xml:space="preserve"> </w:t>
      </w:r>
    </w:p>
    <w:p w:rsidR="002E5F22" w:rsidRDefault="0026704F" w:rsidP="00C03950">
      <w:pPr>
        <w:pStyle w:val="Heading3"/>
        <w:jc w:val="both"/>
      </w:pPr>
      <w:r>
        <w:lastRenderedPageBreak/>
        <w:t xml:space="preserve">SCWCSU </w:t>
      </w:r>
    </w:p>
    <w:p w:rsidR="0026704F" w:rsidRDefault="0026704F" w:rsidP="00C03950">
      <w:pPr>
        <w:jc w:val="both"/>
      </w:pPr>
      <w:r>
        <w:t xml:space="preserve">The SCWCSU can be commissioned to support with aspects of evaluation, e.g., </w:t>
      </w:r>
      <w:r>
        <w:rPr>
          <w:szCs w:val="24"/>
        </w:rPr>
        <w:t>suppor</w:t>
      </w:r>
      <w:r w:rsidR="00C03950">
        <w:rPr>
          <w:szCs w:val="24"/>
        </w:rPr>
        <w:t>t for qualitative survey design, which is likely to cost in the region of £804 per survey</w:t>
      </w:r>
      <w:r>
        <w:t xml:space="preserve"> </w:t>
      </w:r>
      <w:hyperlink r:id="rId12" w:history="1">
        <w:r w:rsidRPr="00A85F2D">
          <w:rPr>
            <w:rStyle w:val="Hyperlink"/>
          </w:rPr>
          <w:t>contact.scwcsu@nhs.net</w:t>
        </w:r>
      </w:hyperlink>
      <w:r>
        <w:t xml:space="preserve"> </w:t>
      </w:r>
    </w:p>
    <w:p w:rsidR="0026704F" w:rsidRDefault="0026704F" w:rsidP="00C03950">
      <w:pPr>
        <w:pStyle w:val="Heading3"/>
        <w:jc w:val="both"/>
      </w:pPr>
      <w:r>
        <w:t xml:space="preserve">BNSSG </w:t>
      </w:r>
      <w:proofErr w:type="spellStart"/>
      <w:r>
        <w:t>Healthwatch</w:t>
      </w:r>
      <w:proofErr w:type="spellEnd"/>
    </w:p>
    <w:p w:rsidR="0026704F" w:rsidRDefault="00DE1E43" w:rsidP="00C03950">
      <w:pPr>
        <w:jc w:val="both"/>
      </w:pPr>
      <w:r>
        <w:t xml:space="preserve">The BNSSG </w:t>
      </w:r>
      <w:proofErr w:type="spellStart"/>
      <w:r>
        <w:t>Healthwatch</w:t>
      </w:r>
      <w:proofErr w:type="spellEnd"/>
      <w:r>
        <w:t xml:space="preserve"> team can undertake focus groups and interviews with target groups for you. </w:t>
      </w:r>
      <w:r w:rsidR="00AE44DB">
        <w:t>Examples of costs for different types of support are</w:t>
      </w:r>
      <w:r>
        <w:t xml:space="preserve"> shown in Table 2.</w:t>
      </w:r>
    </w:p>
    <w:p w:rsidR="0026704F" w:rsidRDefault="0026704F" w:rsidP="00C03950">
      <w:pPr>
        <w:jc w:val="both"/>
      </w:pPr>
    </w:p>
    <w:p w:rsidR="00DE1E43" w:rsidRPr="00DE1E43" w:rsidRDefault="00AE44DB" w:rsidP="00DE1E43">
      <w:pPr>
        <w:pStyle w:val="BodyText1"/>
        <w:jc w:val="both"/>
        <w:rPr>
          <w:b/>
        </w:rPr>
      </w:pPr>
      <w:proofErr w:type="gramStart"/>
      <w:r>
        <w:rPr>
          <w:b/>
        </w:rPr>
        <w:t>Table 2</w:t>
      </w:r>
      <w:r w:rsidR="00DE1E43" w:rsidRPr="00DE1E43">
        <w:rPr>
          <w:b/>
        </w:rPr>
        <w:t>.</w:t>
      </w:r>
      <w:proofErr w:type="gramEnd"/>
      <w:r w:rsidR="00DE1E43" w:rsidRPr="00DE1E43">
        <w:rPr>
          <w:b/>
        </w:rPr>
        <w:t xml:space="preserve"> </w:t>
      </w:r>
      <w:proofErr w:type="spellStart"/>
      <w:r>
        <w:rPr>
          <w:b/>
        </w:rPr>
        <w:t>Healthwatch</w:t>
      </w:r>
      <w:proofErr w:type="spellEnd"/>
      <w:r w:rsidR="00DE1E43" w:rsidRPr="00DE1E43">
        <w:rPr>
          <w:b/>
        </w:rPr>
        <w:t xml:space="preserve"> support costs</w:t>
      </w:r>
    </w:p>
    <w:p w:rsidR="00DE1E43" w:rsidRDefault="00DE1E43" w:rsidP="00DE1E43">
      <w:pPr>
        <w:pStyle w:val="BodyText1"/>
        <w:jc w:val="both"/>
      </w:pPr>
    </w:p>
    <w:tbl>
      <w:tblPr>
        <w:tblStyle w:val="TableGrid"/>
        <w:tblW w:w="0" w:type="auto"/>
        <w:tblInd w:w="108" w:type="dxa"/>
        <w:tblLook w:val="04A0" w:firstRow="1" w:lastRow="0" w:firstColumn="1" w:lastColumn="0" w:noHBand="0" w:noVBand="1"/>
      </w:tblPr>
      <w:tblGrid>
        <w:gridCol w:w="6237"/>
        <w:gridCol w:w="2835"/>
      </w:tblGrid>
      <w:tr w:rsidR="00AE44DB" w:rsidTr="00AE44DB">
        <w:tc>
          <w:tcPr>
            <w:tcW w:w="6237" w:type="dxa"/>
          </w:tcPr>
          <w:p w:rsidR="00AE44DB" w:rsidRPr="00DE1E43" w:rsidRDefault="00AE44DB" w:rsidP="0024487B">
            <w:pPr>
              <w:pStyle w:val="BodyText1"/>
              <w:jc w:val="both"/>
              <w:rPr>
                <w:b/>
              </w:rPr>
            </w:pPr>
            <w:r>
              <w:rPr>
                <w:b/>
              </w:rPr>
              <w:t>Activity type</w:t>
            </w:r>
          </w:p>
        </w:tc>
        <w:tc>
          <w:tcPr>
            <w:tcW w:w="2835" w:type="dxa"/>
          </w:tcPr>
          <w:p w:rsidR="00AE44DB" w:rsidRPr="00DE1E43" w:rsidRDefault="00AE44DB" w:rsidP="00AE44DB">
            <w:pPr>
              <w:pStyle w:val="BodyText1"/>
              <w:jc w:val="center"/>
              <w:rPr>
                <w:b/>
              </w:rPr>
            </w:pPr>
            <w:r>
              <w:rPr>
                <w:b/>
              </w:rPr>
              <w:t>C</w:t>
            </w:r>
            <w:r w:rsidRPr="00DE1E43">
              <w:rPr>
                <w:b/>
              </w:rPr>
              <w:t xml:space="preserve">ost </w:t>
            </w:r>
          </w:p>
        </w:tc>
      </w:tr>
      <w:tr w:rsidR="00AE44DB" w:rsidTr="00AE44DB">
        <w:tc>
          <w:tcPr>
            <w:tcW w:w="6237" w:type="dxa"/>
          </w:tcPr>
          <w:p w:rsidR="00AE44DB" w:rsidRDefault="00AE44DB" w:rsidP="0024487B">
            <w:pPr>
              <w:pStyle w:val="BodyText1"/>
              <w:jc w:val="both"/>
            </w:pPr>
            <w:r>
              <w:t>12 face to face interviews</w:t>
            </w:r>
          </w:p>
        </w:tc>
        <w:tc>
          <w:tcPr>
            <w:tcW w:w="2835" w:type="dxa"/>
          </w:tcPr>
          <w:p w:rsidR="00AE44DB" w:rsidRDefault="00AE44DB" w:rsidP="0024487B">
            <w:pPr>
              <w:pStyle w:val="BodyText1"/>
              <w:jc w:val="center"/>
            </w:pPr>
            <w:r>
              <w:t>£1562</w:t>
            </w:r>
          </w:p>
        </w:tc>
      </w:tr>
      <w:tr w:rsidR="00AE44DB" w:rsidTr="00AE44DB">
        <w:tc>
          <w:tcPr>
            <w:tcW w:w="6237" w:type="dxa"/>
          </w:tcPr>
          <w:p w:rsidR="00AE44DB" w:rsidRDefault="00AE44DB" w:rsidP="00AE44DB">
            <w:pPr>
              <w:pStyle w:val="BodyText1"/>
              <w:jc w:val="both"/>
            </w:pPr>
            <w:r>
              <w:t>12 telephone interviews</w:t>
            </w:r>
          </w:p>
        </w:tc>
        <w:tc>
          <w:tcPr>
            <w:tcW w:w="2835" w:type="dxa"/>
          </w:tcPr>
          <w:p w:rsidR="00AE44DB" w:rsidRDefault="00AE44DB" w:rsidP="0024487B">
            <w:pPr>
              <w:pStyle w:val="BodyText1"/>
              <w:jc w:val="center"/>
            </w:pPr>
            <w:r>
              <w:t>£660</w:t>
            </w:r>
          </w:p>
        </w:tc>
      </w:tr>
      <w:tr w:rsidR="00AE44DB" w:rsidTr="00AE44DB">
        <w:tc>
          <w:tcPr>
            <w:tcW w:w="6237" w:type="dxa"/>
          </w:tcPr>
          <w:p w:rsidR="00AE44DB" w:rsidRPr="00AE44DB" w:rsidRDefault="00AE44DB" w:rsidP="0024487B">
            <w:pPr>
              <w:pStyle w:val="BodyText1"/>
              <w:jc w:val="both"/>
            </w:pPr>
            <w:r>
              <w:rPr>
                <w:bCs/>
                <w:color w:val="000000"/>
              </w:rPr>
              <w:t>S</w:t>
            </w:r>
            <w:r w:rsidRPr="00AE44DB">
              <w:rPr>
                <w:bCs/>
                <w:color w:val="000000"/>
              </w:rPr>
              <w:t>etting up,  facilitation and write up of two focus groups</w:t>
            </w:r>
          </w:p>
        </w:tc>
        <w:tc>
          <w:tcPr>
            <w:tcW w:w="2835" w:type="dxa"/>
          </w:tcPr>
          <w:p w:rsidR="00AE44DB" w:rsidRDefault="00AE44DB" w:rsidP="0024487B">
            <w:pPr>
              <w:pStyle w:val="BodyText1"/>
              <w:jc w:val="center"/>
            </w:pPr>
            <w:r>
              <w:t>£825</w:t>
            </w:r>
          </w:p>
        </w:tc>
      </w:tr>
    </w:tbl>
    <w:p w:rsidR="00AE44DB" w:rsidRDefault="00D55CF9" w:rsidP="00AE44DB">
      <w:pPr>
        <w:pStyle w:val="Heading3"/>
        <w:jc w:val="both"/>
      </w:pPr>
      <w:r>
        <w:t>Freelance evaluators</w:t>
      </w:r>
    </w:p>
    <w:p w:rsidR="00D55CF9" w:rsidRDefault="00D55CF9" w:rsidP="00D55CF9">
      <w:pPr>
        <w:jc w:val="both"/>
      </w:pPr>
      <w:r>
        <w:t xml:space="preserve">There is a large freelance evaluator community in addition to the local organisations outlined above who charge varying rates (e.g., £25 </w:t>
      </w:r>
      <w:proofErr w:type="spellStart"/>
      <w:r>
        <w:t>ph</w:t>
      </w:r>
      <w:proofErr w:type="spellEnd"/>
      <w:r>
        <w:t xml:space="preserve">/hr to day rates of £800+). Using the Evaluation Online Network </w:t>
      </w:r>
      <w:r w:rsidR="003364F9">
        <w:t>is a good mechanism</w:t>
      </w:r>
      <w:r>
        <w:t xml:space="preserve"> for </w:t>
      </w:r>
      <w:r w:rsidR="003364F9">
        <w:t xml:space="preserve">getting in touch with this community. </w:t>
      </w:r>
      <w:r>
        <w:t xml:space="preserve"> </w:t>
      </w:r>
      <w:proofErr w:type="gramStart"/>
      <w:r w:rsidR="003364F9">
        <w:t>Alternatively typing ‘freelance evaluators’ into a search engine will give you a lot of results.</w:t>
      </w:r>
      <w:proofErr w:type="gramEnd"/>
      <w:r w:rsidR="003364F9">
        <w:t xml:space="preserve"> </w:t>
      </w:r>
    </w:p>
    <w:p w:rsidR="00D55CF9" w:rsidRDefault="00D55CF9" w:rsidP="00D55CF9">
      <w:pPr>
        <w:pStyle w:val="Heading3"/>
        <w:jc w:val="both"/>
      </w:pPr>
      <w:r>
        <w:t xml:space="preserve">Other costs </w:t>
      </w:r>
    </w:p>
    <w:p w:rsidR="00D55CF9" w:rsidRDefault="00D55CF9" w:rsidP="00D55CF9">
      <w:pPr>
        <w:jc w:val="both"/>
      </w:pPr>
      <w:r>
        <w:t>Remember there are other costs involved in engaging with service users such as;</w:t>
      </w:r>
    </w:p>
    <w:p w:rsidR="00D55CF9" w:rsidRDefault="00D55CF9" w:rsidP="00D55CF9">
      <w:pPr>
        <w:pStyle w:val="ListParagraph"/>
        <w:numPr>
          <w:ilvl w:val="0"/>
          <w:numId w:val="10"/>
        </w:numPr>
        <w:jc w:val="both"/>
      </w:pPr>
      <w:r>
        <w:t>Travel costs, normally reimbursed at 45p per mile, or cost of bus fare.</w:t>
      </w:r>
    </w:p>
    <w:p w:rsidR="00D55CF9" w:rsidRDefault="00D55CF9" w:rsidP="00D55CF9">
      <w:pPr>
        <w:pStyle w:val="ListParagraph"/>
        <w:numPr>
          <w:ilvl w:val="0"/>
          <w:numId w:val="10"/>
        </w:numPr>
        <w:jc w:val="both"/>
      </w:pPr>
      <w:r>
        <w:t>Refreshments, normally £5 per participant.</w:t>
      </w:r>
    </w:p>
    <w:p w:rsidR="00D55CF9" w:rsidRDefault="00D55CF9" w:rsidP="00D55CF9">
      <w:pPr>
        <w:pStyle w:val="ListParagraph"/>
        <w:numPr>
          <w:ilvl w:val="0"/>
          <w:numId w:val="10"/>
        </w:numPr>
        <w:jc w:val="both"/>
      </w:pPr>
      <w:r>
        <w:t>Venue hire, this can start from £25.</w:t>
      </w:r>
    </w:p>
    <w:p w:rsidR="00695327" w:rsidRDefault="00695327" w:rsidP="00C03950">
      <w:pPr>
        <w:pStyle w:val="Heading2"/>
        <w:numPr>
          <w:ilvl w:val="0"/>
          <w:numId w:val="5"/>
        </w:numPr>
        <w:jc w:val="both"/>
      </w:pPr>
      <w:r>
        <w:t>Key Points</w:t>
      </w:r>
    </w:p>
    <w:p w:rsidR="00C03950" w:rsidRDefault="00C03950" w:rsidP="0076506F">
      <w:pPr>
        <w:spacing w:line="240" w:lineRule="auto"/>
        <w:jc w:val="both"/>
      </w:pPr>
      <w:r w:rsidRPr="0076506F">
        <w:rPr>
          <w:b/>
        </w:rPr>
        <w:t xml:space="preserve">Evaluation planning is </w:t>
      </w:r>
      <w:proofErr w:type="gramStart"/>
      <w:r w:rsidRPr="0076506F">
        <w:rPr>
          <w:b/>
        </w:rPr>
        <w:t>key</w:t>
      </w:r>
      <w:proofErr w:type="gramEnd"/>
      <w:r w:rsidR="00D55CF9">
        <w:rPr>
          <w:b/>
        </w:rPr>
        <w:t xml:space="preserve"> to a useful output</w:t>
      </w:r>
      <w:r w:rsidR="0076506F">
        <w:t>:</w:t>
      </w:r>
    </w:p>
    <w:p w:rsidR="00C03950" w:rsidRPr="00C03950" w:rsidRDefault="00C03950" w:rsidP="0076506F">
      <w:pPr>
        <w:pStyle w:val="NoSpacing"/>
        <w:numPr>
          <w:ilvl w:val="0"/>
          <w:numId w:val="12"/>
        </w:numPr>
        <w:jc w:val="both"/>
        <w:rPr>
          <w:rFonts w:ascii="Arial" w:hAnsi="Arial" w:cs="Arial"/>
        </w:rPr>
      </w:pPr>
      <w:r w:rsidRPr="00C03950">
        <w:rPr>
          <w:rFonts w:ascii="Arial" w:hAnsi="Arial" w:cs="Arial"/>
          <w:lang w:val="en-US"/>
        </w:rPr>
        <w:t xml:space="preserve">Be clear in the purpose of the evaluation. As the person or team procuring the evaluation: what is it you want to know? Is it an assessment, an objective evaluation or do you want to discover something you don’t already know? Ask yourself: ‘what would a successful product look like?’ </w:t>
      </w:r>
      <w:r w:rsidRPr="00C03950">
        <w:rPr>
          <w:rFonts w:ascii="Arial" w:hAnsi="Arial" w:cs="Arial"/>
        </w:rPr>
        <w:t>How should the findings and recommendations presented?</w:t>
      </w:r>
    </w:p>
    <w:p w:rsidR="00C03950" w:rsidRPr="00C03950" w:rsidRDefault="00C03950" w:rsidP="0076506F">
      <w:pPr>
        <w:pStyle w:val="NoSpacing"/>
        <w:ind w:hanging="360"/>
        <w:jc w:val="both"/>
        <w:rPr>
          <w:rFonts w:ascii="Arial" w:hAnsi="Arial" w:cs="Arial"/>
        </w:rPr>
      </w:pPr>
    </w:p>
    <w:p w:rsidR="00C03950" w:rsidRPr="00C03950" w:rsidRDefault="00C03950" w:rsidP="0076506F">
      <w:pPr>
        <w:pStyle w:val="NoSpacing"/>
        <w:numPr>
          <w:ilvl w:val="0"/>
          <w:numId w:val="12"/>
        </w:numPr>
        <w:jc w:val="both"/>
        <w:rPr>
          <w:rFonts w:ascii="Arial" w:hAnsi="Arial" w:cs="Arial"/>
          <w:lang w:val="en-US"/>
        </w:rPr>
      </w:pPr>
      <w:r w:rsidRPr="00C03950">
        <w:rPr>
          <w:rFonts w:ascii="Arial" w:hAnsi="Arial" w:cs="Arial"/>
          <w:lang w:val="en-US"/>
        </w:rPr>
        <w:t>Ensure that the evaluation specification is clear and comprehensive. For example, agree on how the report will be presented and on content decisions such as whether the report will contain background on frameworks used, or a literature review. Time spent at this stage will lead to a more efficient process overall.</w:t>
      </w:r>
    </w:p>
    <w:p w:rsidR="00C03950" w:rsidRPr="00C03950" w:rsidRDefault="00C03950" w:rsidP="0076506F">
      <w:pPr>
        <w:pStyle w:val="NoSpacing"/>
        <w:ind w:left="-11" w:hanging="360"/>
        <w:jc w:val="both"/>
        <w:rPr>
          <w:rFonts w:ascii="Arial" w:hAnsi="Arial" w:cs="Arial"/>
        </w:rPr>
      </w:pPr>
    </w:p>
    <w:p w:rsidR="00C03950" w:rsidRPr="00C03950" w:rsidRDefault="00C03950" w:rsidP="0076506F">
      <w:pPr>
        <w:pStyle w:val="NoSpacing"/>
        <w:numPr>
          <w:ilvl w:val="0"/>
          <w:numId w:val="12"/>
        </w:numPr>
        <w:jc w:val="both"/>
        <w:rPr>
          <w:rFonts w:ascii="Arial" w:hAnsi="Arial" w:cs="Arial"/>
          <w:lang w:val="en-US"/>
        </w:rPr>
      </w:pPr>
      <w:r w:rsidRPr="00C03950">
        <w:rPr>
          <w:rFonts w:ascii="Arial" w:hAnsi="Arial" w:cs="Arial"/>
          <w:lang w:val="en-US"/>
        </w:rPr>
        <w:t>For the procuring team, it can be helpful to hear ‘the art of the possible’. Research teams are experts in evaluation methods and are well placed to offer advice if they feel a requested evaluation will not meet the needs of the procurer, or if there might be a better way of meeting those needs. Guidance and steering from the CCG Research and Evidence team should be welcomed and encouraged.</w:t>
      </w:r>
    </w:p>
    <w:p w:rsidR="00C03950" w:rsidRPr="00C03950" w:rsidRDefault="00C03950" w:rsidP="0076506F">
      <w:pPr>
        <w:pStyle w:val="NoSpacing"/>
        <w:ind w:left="-11" w:hanging="360"/>
        <w:jc w:val="both"/>
        <w:rPr>
          <w:rFonts w:ascii="Arial" w:hAnsi="Arial" w:cs="Arial"/>
        </w:rPr>
      </w:pPr>
    </w:p>
    <w:p w:rsidR="00C03950" w:rsidRPr="00C03950" w:rsidRDefault="00C03950" w:rsidP="0076506F">
      <w:pPr>
        <w:pStyle w:val="NoSpacing"/>
        <w:numPr>
          <w:ilvl w:val="0"/>
          <w:numId w:val="12"/>
        </w:numPr>
        <w:jc w:val="both"/>
        <w:rPr>
          <w:rFonts w:ascii="Arial" w:hAnsi="Arial" w:cs="Arial"/>
        </w:rPr>
      </w:pPr>
      <w:r w:rsidRPr="00C03950">
        <w:rPr>
          <w:rFonts w:ascii="Arial" w:hAnsi="Arial" w:cs="Arial"/>
          <w:lang w:val="en-US"/>
        </w:rPr>
        <w:lastRenderedPageBreak/>
        <w:t>The procuring team should expect to be able to answer the question: how will this evaluation be used? Welcome this challenge as it helps to ensure the production of the evaluation provides high value learning to the</w:t>
      </w:r>
      <w:r w:rsidRPr="00C03950">
        <w:rPr>
          <w:rFonts w:ascii="Arial" w:hAnsi="Arial" w:cs="Arial"/>
        </w:rPr>
        <w:t xml:space="preserve"> organisation</w:t>
      </w:r>
      <w:r w:rsidRPr="00C03950">
        <w:rPr>
          <w:rFonts w:ascii="Arial" w:hAnsi="Arial" w:cs="Arial"/>
          <w:lang w:val="en-US"/>
        </w:rPr>
        <w:t>.</w:t>
      </w:r>
    </w:p>
    <w:p w:rsidR="00C03950" w:rsidRPr="00C03950" w:rsidRDefault="00C03950" w:rsidP="0076506F">
      <w:pPr>
        <w:pStyle w:val="ListParagraph"/>
        <w:spacing w:line="240" w:lineRule="auto"/>
        <w:ind w:left="709" w:hanging="360"/>
        <w:jc w:val="both"/>
        <w:rPr>
          <w:rFonts w:ascii="Arial" w:hAnsi="Arial" w:cs="Arial"/>
        </w:rPr>
      </w:pPr>
    </w:p>
    <w:p w:rsidR="00C03950" w:rsidRPr="0076506F" w:rsidRDefault="00C03950" w:rsidP="0076506F">
      <w:pPr>
        <w:pStyle w:val="ListParagraph"/>
        <w:numPr>
          <w:ilvl w:val="0"/>
          <w:numId w:val="12"/>
        </w:numPr>
        <w:spacing w:line="240" w:lineRule="auto"/>
        <w:jc w:val="both"/>
        <w:rPr>
          <w:rFonts w:ascii="Arial" w:hAnsi="Arial" w:cs="Arial"/>
        </w:rPr>
      </w:pPr>
      <w:r w:rsidRPr="0076506F">
        <w:rPr>
          <w:rFonts w:ascii="Arial" w:hAnsi="Arial" w:cs="Arial"/>
        </w:rPr>
        <w:t>Ensure that all stakeholders are clear on what can be realistically achieved in the timeframe and budget agreed.</w:t>
      </w:r>
    </w:p>
    <w:p w:rsidR="00C03950" w:rsidRDefault="00C03950" w:rsidP="0076506F">
      <w:pPr>
        <w:pStyle w:val="ListParagraph"/>
        <w:spacing w:line="240" w:lineRule="auto"/>
        <w:ind w:hanging="360"/>
        <w:jc w:val="both"/>
      </w:pPr>
    </w:p>
    <w:p w:rsidR="0054287A" w:rsidRDefault="00C03950" w:rsidP="0076506F">
      <w:pPr>
        <w:spacing w:line="240" w:lineRule="auto"/>
        <w:jc w:val="both"/>
      </w:pPr>
      <w:r>
        <w:t>You may want to procure some external aspects and keep other aspects internal</w:t>
      </w:r>
      <w:r w:rsidR="0054287A">
        <w:t xml:space="preserve"> e.g</w:t>
      </w:r>
      <w:proofErr w:type="gramStart"/>
      <w:r w:rsidR="0076506F">
        <w:t>.,</w:t>
      </w:r>
      <w:proofErr w:type="gramEnd"/>
    </w:p>
    <w:p w:rsidR="0054287A" w:rsidRDefault="0054287A" w:rsidP="0076506F">
      <w:pPr>
        <w:pStyle w:val="ListParagraph"/>
        <w:numPr>
          <w:ilvl w:val="0"/>
          <w:numId w:val="11"/>
        </w:numPr>
        <w:spacing w:line="240" w:lineRule="auto"/>
        <w:jc w:val="both"/>
      </w:pPr>
      <w:r>
        <w:t xml:space="preserve">You may want someone to run focus groups for you and analyse this data, but you will also use existing data the CCGs’ BI hold </w:t>
      </w:r>
    </w:p>
    <w:p w:rsidR="00695327" w:rsidRDefault="00C03950" w:rsidP="0076506F">
      <w:pPr>
        <w:pStyle w:val="ListParagraph"/>
        <w:numPr>
          <w:ilvl w:val="0"/>
          <w:numId w:val="11"/>
        </w:numPr>
        <w:spacing w:line="240" w:lineRule="auto"/>
        <w:jc w:val="both"/>
      </w:pPr>
      <w:r>
        <w:t>If you want help with developing and administering a survey the CCGs’ Research and Evidence</w:t>
      </w:r>
      <w:r w:rsidR="00D55CF9">
        <w:t xml:space="preserve"> (R&amp;E)</w:t>
      </w:r>
      <w:r>
        <w:t xml:space="preserve"> (</w:t>
      </w:r>
      <w:hyperlink r:id="rId13" w:history="1">
        <w:r w:rsidRPr="00A85F2D">
          <w:rPr>
            <w:rStyle w:val="Hyperlink"/>
          </w:rPr>
          <w:t>bnssg.research@nhs.net</w:t>
        </w:r>
      </w:hyperlink>
      <w:r>
        <w:t>) and Insights teams (</w:t>
      </w:r>
      <w:hyperlink r:id="rId14" w:history="1">
        <w:r w:rsidRPr="00A85F2D">
          <w:rPr>
            <w:rStyle w:val="Hyperlink"/>
          </w:rPr>
          <w:t>alex.ward-booth1@nhs.net</w:t>
        </w:r>
      </w:hyperlink>
      <w:r>
        <w:t>) can assist you.</w:t>
      </w:r>
    </w:p>
    <w:p w:rsidR="00695327" w:rsidRPr="00947021" w:rsidRDefault="00695327" w:rsidP="00C03950">
      <w:pPr>
        <w:pStyle w:val="Heading2"/>
        <w:numPr>
          <w:ilvl w:val="0"/>
          <w:numId w:val="5"/>
        </w:numPr>
        <w:jc w:val="both"/>
      </w:pPr>
      <w:r>
        <w:t xml:space="preserve">Summary </w:t>
      </w:r>
    </w:p>
    <w:p w:rsidR="00D55CF9" w:rsidRPr="002E5F22" w:rsidRDefault="00D55CF9" w:rsidP="00D55CF9">
      <w:pPr>
        <w:pStyle w:val="BodyText1"/>
        <w:jc w:val="both"/>
      </w:pPr>
      <w:r>
        <w:rPr>
          <w:rFonts w:asciiTheme="minorHAnsi" w:eastAsiaTheme="minorHAnsi" w:hAnsiTheme="minorHAnsi" w:cstheme="minorBidi"/>
          <w:color w:val="auto"/>
          <w:szCs w:val="22"/>
          <w:lang w:eastAsia="en-US"/>
        </w:rPr>
        <w:t xml:space="preserve">Top tip on procuring a service evaluation are available on the CCGs’ </w:t>
      </w:r>
      <w:hyperlink r:id="rId15" w:history="1">
        <w:r w:rsidRPr="00D55CF9">
          <w:rPr>
            <w:rStyle w:val="Hyperlink"/>
            <w:rFonts w:asciiTheme="minorHAnsi" w:eastAsiaTheme="minorHAnsi" w:hAnsiTheme="minorHAnsi" w:cstheme="minorBidi"/>
            <w:szCs w:val="22"/>
            <w:lang w:eastAsia="en-US"/>
          </w:rPr>
          <w:t>hub</w:t>
        </w:r>
      </w:hyperlink>
      <w:r>
        <w:rPr>
          <w:rFonts w:asciiTheme="minorHAnsi" w:eastAsiaTheme="minorHAnsi" w:hAnsiTheme="minorHAnsi" w:cstheme="minorBidi"/>
          <w:color w:val="auto"/>
          <w:szCs w:val="22"/>
          <w:lang w:eastAsia="en-US"/>
        </w:rPr>
        <w:t xml:space="preserve">. Contact the </w:t>
      </w:r>
      <w:hyperlink r:id="rId16" w:history="1">
        <w:r w:rsidRPr="00D55CF9">
          <w:rPr>
            <w:rStyle w:val="Hyperlink"/>
            <w:rFonts w:asciiTheme="minorHAnsi" w:eastAsiaTheme="minorHAnsi" w:hAnsiTheme="minorHAnsi" w:cstheme="minorBidi"/>
            <w:szCs w:val="22"/>
            <w:lang w:eastAsia="en-US"/>
          </w:rPr>
          <w:t>R&amp;E team</w:t>
        </w:r>
      </w:hyperlink>
      <w:r>
        <w:rPr>
          <w:rFonts w:asciiTheme="minorHAnsi" w:eastAsiaTheme="minorHAnsi" w:hAnsiTheme="minorHAnsi" w:cstheme="minorBidi"/>
          <w:color w:val="auto"/>
          <w:szCs w:val="22"/>
          <w:lang w:eastAsia="en-US"/>
        </w:rPr>
        <w:t xml:space="preserve"> to talk through your evaluation plan to determine the level of support you may require.</w:t>
      </w:r>
    </w:p>
    <w:p w:rsidR="00342245" w:rsidRPr="002E5F22" w:rsidRDefault="00342245" w:rsidP="00C03950">
      <w:pPr>
        <w:pStyle w:val="BodyText1"/>
        <w:jc w:val="both"/>
      </w:pPr>
    </w:p>
    <w:sectPr w:rsidR="00342245" w:rsidRPr="002E5F22" w:rsidSect="00FB22EC">
      <w:headerReference w:type="default" r:id="rId17"/>
      <w:footerReference w:type="default" r:id="rId18"/>
      <w:headerReference w:type="first" r:id="rId19"/>
      <w:pgSz w:w="11906" w:h="16838" w:code="9"/>
      <w:pgMar w:top="720" w:right="720" w:bottom="720" w:left="720" w:header="567"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54" w:rsidRDefault="00611354" w:rsidP="009B0CD1">
      <w:pPr>
        <w:spacing w:line="240" w:lineRule="auto"/>
      </w:pPr>
      <w:r>
        <w:separator/>
      </w:r>
    </w:p>
  </w:endnote>
  <w:endnote w:type="continuationSeparator" w:id="0">
    <w:p w:rsidR="00611354" w:rsidRDefault="00611354"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EC" w:rsidRDefault="00705E07" w:rsidP="00FB07BC">
    <w:pPr>
      <w:pStyle w:val="Footer"/>
    </w:pPr>
    <w:r>
      <w:rPr>
        <w:noProof/>
        <w:lang w:eastAsia="en-GB"/>
      </w:rPr>
      <w:drawing>
        <wp:anchor distT="0" distB="0" distL="114300" distR="114300" simplePos="0" relativeHeight="251661312" behindDoc="1" locked="1" layoutInCell="1" allowOverlap="1" wp14:anchorId="3122350B" wp14:editId="0859C7BB">
          <wp:simplePos x="0" y="0"/>
          <wp:positionH relativeFrom="page">
            <wp:align>left</wp:align>
          </wp:positionH>
          <wp:positionV relativeFrom="page">
            <wp:align>bottom</wp:align>
          </wp:positionV>
          <wp:extent cx="2120400" cy="74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400" cy="74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right" w:leader="none"/>
    </w:r>
  </w:p>
  <w:p w:rsidR="009B0CD1" w:rsidRPr="00FB07BC" w:rsidRDefault="00FB22EC" w:rsidP="00FB07BC">
    <w:pPr>
      <w:pStyle w:val="Footer"/>
    </w:pPr>
    <w:r>
      <w:tab/>
    </w:r>
    <w:r w:rsidR="00FB07BC">
      <w:t xml:space="preserve">Page </w:t>
    </w:r>
    <w:r w:rsidR="00FB07BC">
      <w:fldChar w:fldCharType="begin"/>
    </w:r>
    <w:r w:rsidR="00FB07BC">
      <w:instrText xml:space="preserve"> PAGE   \* MERGEFORMAT </w:instrText>
    </w:r>
    <w:r w:rsidR="00FB07BC">
      <w:fldChar w:fldCharType="separate"/>
    </w:r>
    <w:r w:rsidR="00932A2F">
      <w:rPr>
        <w:noProof/>
      </w:rPr>
      <w:t>3</w:t>
    </w:r>
    <w:r w:rsidR="00FB07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54" w:rsidRDefault="00611354" w:rsidP="009B0CD1">
      <w:pPr>
        <w:spacing w:line="240" w:lineRule="auto"/>
      </w:pPr>
      <w:r>
        <w:separator/>
      </w:r>
    </w:p>
  </w:footnote>
  <w:footnote w:type="continuationSeparator" w:id="0">
    <w:p w:rsidR="00611354" w:rsidRDefault="00611354" w:rsidP="009B0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D1" w:rsidRPr="00695327" w:rsidRDefault="00AE44DB" w:rsidP="00404036">
    <w:pPr>
      <w:pStyle w:val="Header"/>
      <w:pBdr>
        <w:bottom w:val="none" w:sz="0" w:space="0" w:color="auto"/>
      </w:pBdr>
      <w:rPr>
        <w:sz w:val="24"/>
      </w:rPr>
    </w:pPr>
    <w:r>
      <w:rPr>
        <w:sz w:val="24"/>
      </w:rPr>
      <w:t>Costings for external evaluation support</w:t>
    </w:r>
  </w:p>
  <w:p w:rsidR="00705E07" w:rsidRDefault="00404036" w:rsidP="00705E07">
    <w:r>
      <w:rPr>
        <w:noProof/>
        <w:lang w:eastAsia="en-GB"/>
      </w:rPr>
      <mc:AlternateContent>
        <mc:Choice Requires="wps">
          <w:drawing>
            <wp:anchor distT="0" distB="0" distL="114300" distR="114300" simplePos="0" relativeHeight="251666432" behindDoc="0" locked="0" layoutInCell="1" allowOverlap="1" wp14:anchorId="775B12C7" wp14:editId="7BEC5526">
              <wp:simplePos x="0" y="0"/>
              <wp:positionH relativeFrom="column">
                <wp:posOffset>-460375</wp:posOffset>
              </wp:positionH>
              <wp:positionV relativeFrom="paragraph">
                <wp:posOffset>76835</wp:posOffset>
              </wp:positionV>
              <wp:extent cx="7559675" cy="0"/>
              <wp:effectExtent l="0" t="0" r="22225" b="19050"/>
              <wp:wrapNone/>
              <wp:docPr id="46" name="Straight Connector 46"/>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pt,6.05pt" to="5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" strokecolor="#ae2573 [3205]"/>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C" w:rsidRDefault="00305BB7" w:rsidP="00FB07BC">
    <w:r>
      <w:rPr>
        <w:noProof/>
        <w:lang w:eastAsia="en-GB"/>
      </w:rPr>
      <w:drawing>
        <wp:anchor distT="0" distB="0" distL="114300" distR="114300" simplePos="0" relativeHeight="251663360" behindDoc="0" locked="0" layoutInCell="1" allowOverlap="1">
          <wp:simplePos x="0" y="0"/>
          <wp:positionH relativeFrom="column">
            <wp:posOffset>3829409</wp:posOffset>
          </wp:positionH>
          <wp:positionV relativeFrom="paragraph">
            <wp:posOffset>-360045</wp:posOffset>
          </wp:positionV>
          <wp:extent cx="3270324" cy="150607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0324" cy="1506071"/>
                  </a:xfrm>
                  <a:prstGeom prst="rect">
                    <a:avLst/>
                  </a:prstGeom>
                </pic:spPr>
              </pic:pic>
            </a:graphicData>
          </a:graphic>
        </wp:anchor>
      </w:drawing>
    </w:r>
  </w:p>
  <w:p w:rsidR="00FB07BC" w:rsidRDefault="00FB07BC" w:rsidP="00FB07BC"/>
  <w:p w:rsidR="00FB07BC" w:rsidRDefault="00FB07BC" w:rsidP="00FB07BC"/>
  <w:p w:rsidR="00FB07BC" w:rsidRDefault="00FB07BC" w:rsidP="00FB07BC"/>
  <w:p w:rsidR="00972451" w:rsidRDefault="00972451" w:rsidP="00FB07BC"/>
  <w:p w:rsidR="00695327" w:rsidRPr="00FB07BC" w:rsidRDefault="00695327" w:rsidP="00FB07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5AC1C3B"/>
    <w:multiLevelType w:val="hybridMultilevel"/>
    <w:tmpl w:val="3F366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E4374"/>
    <w:multiLevelType w:val="hybridMultilevel"/>
    <w:tmpl w:val="06B843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86AF7"/>
    <w:multiLevelType w:val="hybridMultilevel"/>
    <w:tmpl w:val="B53A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A07C1"/>
    <w:multiLevelType w:val="hybridMultilevel"/>
    <w:tmpl w:val="52CE1D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37571E4"/>
    <w:multiLevelType w:val="hybridMultilevel"/>
    <w:tmpl w:val="0A3AA0C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85051"/>
    <w:multiLevelType w:val="hybridMultilevel"/>
    <w:tmpl w:val="FB4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890B50"/>
    <w:multiLevelType w:val="multilevel"/>
    <w:tmpl w:val="5D6A105A"/>
    <w:numStyleLink w:val="NHSBNSSGBulletList"/>
  </w:abstractNum>
  <w:abstractNum w:abstractNumId="9">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B77B00"/>
    <w:multiLevelType w:val="hybridMultilevel"/>
    <w:tmpl w:val="AB44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9"/>
  </w:num>
  <w:num w:numId="6">
    <w:abstractNumId w:val="2"/>
  </w:num>
  <w:num w:numId="7">
    <w:abstractNumId w:val="6"/>
  </w:num>
  <w:num w:numId="8">
    <w:abstractNumId w:val="7"/>
  </w:num>
  <w:num w:numId="9">
    <w:abstractNumId w:val="3"/>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54"/>
    <w:rsid w:val="000563BA"/>
    <w:rsid w:val="00163A9C"/>
    <w:rsid w:val="00251625"/>
    <w:rsid w:val="0026704F"/>
    <w:rsid w:val="002E5F22"/>
    <w:rsid w:val="00305BB7"/>
    <w:rsid w:val="003364F9"/>
    <w:rsid w:val="00342245"/>
    <w:rsid w:val="00394BC4"/>
    <w:rsid w:val="003A268C"/>
    <w:rsid w:val="003C6E4B"/>
    <w:rsid w:val="003E11F9"/>
    <w:rsid w:val="003F679E"/>
    <w:rsid w:val="00404036"/>
    <w:rsid w:val="00425472"/>
    <w:rsid w:val="00481DC1"/>
    <w:rsid w:val="004E0A72"/>
    <w:rsid w:val="005250E9"/>
    <w:rsid w:val="00525487"/>
    <w:rsid w:val="0054287A"/>
    <w:rsid w:val="005B46B0"/>
    <w:rsid w:val="00611354"/>
    <w:rsid w:val="00631B60"/>
    <w:rsid w:val="00695327"/>
    <w:rsid w:val="00705E07"/>
    <w:rsid w:val="007278A0"/>
    <w:rsid w:val="0076506F"/>
    <w:rsid w:val="00783E2C"/>
    <w:rsid w:val="008167D7"/>
    <w:rsid w:val="009130D0"/>
    <w:rsid w:val="00932A2F"/>
    <w:rsid w:val="00972451"/>
    <w:rsid w:val="009B0CD1"/>
    <w:rsid w:val="00A268E1"/>
    <w:rsid w:val="00A32C56"/>
    <w:rsid w:val="00AC4EC6"/>
    <w:rsid w:val="00AD0481"/>
    <w:rsid w:val="00AE188C"/>
    <w:rsid w:val="00AE44DB"/>
    <w:rsid w:val="00C03950"/>
    <w:rsid w:val="00C0537C"/>
    <w:rsid w:val="00D02698"/>
    <w:rsid w:val="00D22EB2"/>
    <w:rsid w:val="00D55CF9"/>
    <w:rsid w:val="00DE1E43"/>
    <w:rsid w:val="00E31B34"/>
    <w:rsid w:val="00EA22B9"/>
    <w:rsid w:val="00F179E4"/>
    <w:rsid w:val="00FA175A"/>
    <w:rsid w:val="00FB07BC"/>
    <w:rsid w:val="00FB22EC"/>
    <w:rsid w:val="00FE0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3F679E"/>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3F679E"/>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3F679E"/>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3F679E"/>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basedOn w:val="Normal"/>
    <w:uiPriority w:val="34"/>
    <w:qFormat/>
    <w:rsid w:val="002E5F22"/>
    <w:pPr>
      <w:ind w:left="720"/>
      <w:contextualSpacing/>
    </w:pPr>
  </w:style>
  <w:style w:type="character" w:styleId="Hyperlink">
    <w:name w:val="Hyperlink"/>
    <w:basedOn w:val="DefaultParagraphFont"/>
    <w:uiPriority w:val="99"/>
    <w:unhideWhenUsed/>
    <w:rsid w:val="002E5F22"/>
    <w:rPr>
      <w:color w:val="0000FF"/>
      <w:u w:val="single"/>
    </w:rPr>
  </w:style>
  <w:style w:type="paragraph" w:styleId="NoSpacing">
    <w:name w:val="No Spacing"/>
    <w:uiPriority w:val="1"/>
    <w:qFormat/>
    <w:rsid w:val="00C03950"/>
    <w:pPr>
      <w:spacing w:after="0" w:line="240" w:lineRule="auto"/>
    </w:pPr>
    <w:rPr>
      <w:rFonts w:ascii="Calibri" w:hAnsi="Calibri" w:cs="Calibri"/>
      <w:sz w:val="24"/>
      <w:szCs w:val="24"/>
      <w:lang w:eastAsia="en-GB"/>
    </w:rPr>
  </w:style>
  <w:style w:type="character" w:styleId="CommentReference">
    <w:name w:val="annotation reference"/>
    <w:basedOn w:val="DefaultParagraphFont"/>
    <w:uiPriority w:val="99"/>
    <w:semiHidden/>
    <w:unhideWhenUsed/>
    <w:rsid w:val="00FE0932"/>
    <w:rPr>
      <w:sz w:val="16"/>
      <w:szCs w:val="16"/>
    </w:rPr>
  </w:style>
  <w:style w:type="paragraph" w:styleId="CommentText">
    <w:name w:val="annotation text"/>
    <w:basedOn w:val="Normal"/>
    <w:link w:val="CommentTextChar"/>
    <w:uiPriority w:val="99"/>
    <w:semiHidden/>
    <w:unhideWhenUsed/>
    <w:rsid w:val="00FE0932"/>
    <w:pPr>
      <w:spacing w:line="240" w:lineRule="auto"/>
    </w:pPr>
    <w:rPr>
      <w:sz w:val="20"/>
      <w:szCs w:val="20"/>
    </w:rPr>
  </w:style>
  <w:style w:type="character" w:customStyle="1" w:styleId="CommentTextChar">
    <w:name w:val="Comment Text Char"/>
    <w:basedOn w:val="DefaultParagraphFont"/>
    <w:link w:val="CommentText"/>
    <w:uiPriority w:val="99"/>
    <w:semiHidden/>
    <w:rsid w:val="00FE0932"/>
    <w:rPr>
      <w:sz w:val="20"/>
      <w:szCs w:val="20"/>
    </w:rPr>
  </w:style>
  <w:style w:type="paragraph" w:styleId="CommentSubject">
    <w:name w:val="annotation subject"/>
    <w:basedOn w:val="CommentText"/>
    <w:next w:val="CommentText"/>
    <w:link w:val="CommentSubjectChar"/>
    <w:uiPriority w:val="99"/>
    <w:semiHidden/>
    <w:unhideWhenUsed/>
    <w:rsid w:val="00FE0932"/>
    <w:rPr>
      <w:b/>
      <w:bCs/>
    </w:rPr>
  </w:style>
  <w:style w:type="character" w:customStyle="1" w:styleId="CommentSubjectChar">
    <w:name w:val="Comment Subject Char"/>
    <w:basedOn w:val="CommentTextChar"/>
    <w:link w:val="CommentSubject"/>
    <w:uiPriority w:val="99"/>
    <w:semiHidden/>
    <w:rsid w:val="00FE09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3F679E"/>
    <w:pPr>
      <w:keepNext/>
      <w:keepLines/>
      <w:spacing w:after="360" w:line="240" w:lineRule="auto"/>
      <w:outlineLvl w:val="0"/>
    </w:pPr>
    <w:rPr>
      <w:rFonts w:asciiTheme="majorHAnsi" w:eastAsiaTheme="majorEastAsia" w:hAnsiTheme="majorHAnsi" w:cstheme="majorBidi"/>
      <w:b/>
      <w:bCs/>
      <w:color w:val="003087" w:themeColor="accent3"/>
      <w:sz w:val="40"/>
      <w:szCs w:val="28"/>
    </w:rPr>
  </w:style>
  <w:style w:type="paragraph" w:styleId="Heading2">
    <w:name w:val="heading 2"/>
    <w:basedOn w:val="Normal"/>
    <w:next w:val="Normal"/>
    <w:link w:val="Heading2Char"/>
    <w:qFormat/>
    <w:rsid w:val="003F679E"/>
    <w:pPr>
      <w:keepNext/>
      <w:keepLines/>
      <w:spacing w:before="360" w:line="264" w:lineRule="auto"/>
      <w:outlineLvl w:val="1"/>
    </w:pPr>
    <w:rPr>
      <w:rFonts w:asciiTheme="majorHAnsi" w:eastAsiaTheme="majorEastAsia" w:hAnsiTheme="majorHAnsi" w:cstheme="majorBidi"/>
      <w:b/>
      <w:bCs/>
      <w:color w:val="003087" w:themeColor="accent3"/>
      <w:sz w:val="32"/>
      <w:szCs w:val="26"/>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3F679E"/>
    <w:rPr>
      <w:rFonts w:asciiTheme="majorHAnsi" w:eastAsiaTheme="majorEastAsia" w:hAnsiTheme="majorHAnsi" w:cstheme="majorBidi"/>
      <w:b/>
      <w:bCs/>
      <w:color w:val="003087" w:themeColor="accent3"/>
      <w:sz w:val="40"/>
      <w:szCs w:val="28"/>
    </w:rPr>
  </w:style>
  <w:style w:type="character" w:customStyle="1" w:styleId="Heading2Char">
    <w:name w:val="Heading 2 Char"/>
    <w:basedOn w:val="DefaultParagraphFont"/>
    <w:link w:val="Heading2"/>
    <w:rsid w:val="003F679E"/>
    <w:rPr>
      <w:rFonts w:asciiTheme="majorHAnsi" w:eastAsiaTheme="majorEastAsia" w:hAnsiTheme="majorHAnsi" w:cstheme="majorBidi"/>
      <w:b/>
      <w:bCs/>
      <w:color w:val="003087" w:themeColor="accent3"/>
      <w:sz w:val="32"/>
      <w:szCs w:val="26"/>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basedOn w:val="Normal"/>
    <w:uiPriority w:val="34"/>
    <w:qFormat/>
    <w:rsid w:val="002E5F22"/>
    <w:pPr>
      <w:ind w:left="720"/>
      <w:contextualSpacing/>
    </w:pPr>
  </w:style>
  <w:style w:type="character" w:styleId="Hyperlink">
    <w:name w:val="Hyperlink"/>
    <w:basedOn w:val="DefaultParagraphFont"/>
    <w:uiPriority w:val="99"/>
    <w:unhideWhenUsed/>
    <w:rsid w:val="002E5F22"/>
    <w:rPr>
      <w:color w:val="0000FF"/>
      <w:u w:val="single"/>
    </w:rPr>
  </w:style>
  <w:style w:type="paragraph" w:styleId="NoSpacing">
    <w:name w:val="No Spacing"/>
    <w:uiPriority w:val="1"/>
    <w:qFormat/>
    <w:rsid w:val="00C03950"/>
    <w:pPr>
      <w:spacing w:after="0" w:line="240" w:lineRule="auto"/>
    </w:pPr>
    <w:rPr>
      <w:rFonts w:ascii="Calibri" w:hAnsi="Calibri" w:cs="Calibri"/>
      <w:sz w:val="24"/>
      <w:szCs w:val="24"/>
      <w:lang w:eastAsia="en-GB"/>
    </w:rPr>
  </w:style>
  <w:style w:type="character" w:styleId="CommentReference">
    <w:name w:val="annotation reference"/>
    <w:basedOn w:val="DefaultParagraphFont"/>
    <w:uiPriority w:val="99"/>
    <w:semiHidden/>
    <w:unhideWhenUsed/>
    <w:rsid w:val="00FE0932"/>
    <w:rPr>
      <w:sz w:val="16"/>
      <w:szCs w:val="16"/>
    </w:rPr>
  </w:style>
  <w:style w:type="paragraph" w:styleId="CommentText">
    <w:name w:val="annotation text"/>
    <w:basedOn w:val="Normal"/>
    <w:link w:val="CommentTextChar"/>
    <w:uiPriority w:val="99"/>
    <w:semiHidden/>
    <w:unhideWhenUsed/>
    <w:rsid w:val="00FE0932"/>
    <w:pPr>
      <w:spacing w:line="240" w:lineRule="auto"/>
    </w:pPr>
    <w:rPr>
      <w:sz w:val="20"/>
      <w:szCs w:val="20"/>
    </w:rPr>
  </w:style>
  <w:style w:type="character" w:customStyle="1" w:styleId="CommentTextChar">
    <w:name w:val="Comment Text Char"/>
    <w:basedOn w:val="DefaultParagraphFont"/>
    <w:link w:val="CommentText"/>
    <w:uiPriority w:val="99"/>
    <w:semiHidden/>
    <w:rsid w:val="00FE0932"/>
    <w:rPr>
      <w:sz w:val="20"/>
      <w:szCs w:val="20"/>
    </w:rPr>
  </w:style>
  <w:style w:type="paragraph" w:styleId="CommentSubject">
    <w:name w:val="annotation subject"/>
    <w:basedOn w:val="CommentText"/>
    <w:next w:val="CommentText"/>
    <w:link w:val="CommentSubjectChar"/>
    <w:uiPriority w:val="99"/>
    <w:semiHidden/>
    <w:unhideWhenUsed/>
    <w:rsid w:val="00FE0932"/>
    <w:rPr>
      <w:b/>
      <w:bCs/>
    </w:rPr>
  </w:style>
  <w:style w:type="character" w:customStyle="1" w:styleId="CommentSubjectChar">
    <w:name w:val="Comment Subject Char"/>
    <w:basedOn w:val="CommentTextChar"/>
    <w:link w:val="CommentSubject"/>
    <w:uiPriority w:val="99"/>
    <w:semiHidden/>
    <w:rsid w:val="00FE0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nssgccg.nhs.uk/index.php/resources/research-and-evidence" TargetMode="External"/><Relationship Id="rId13" Type="http://schemas.openxmlformats.org/officeDocument/2006/relationships/hyperlink" Target="mailto:bnssg.research@nhs.ne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scwcsu@nhs.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nssg.research@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ALUATIONONLINENETWORK-WEST@JISCMAIL.AC.UK" TargetMode="External"/><Relationship Id="rId5" Type="http://schemas.openxmlformats.org/officeDocument/2006/relationships/webSettings" Target="webSettings.xml"/><Relationship Id="rId15" Type="http://schemas.openxmlformats.org/officeDocument/2006/relationships/hyperlink" Target="https://intranet.bnssgccg.nhs.uk/index.php/resources/research-and-evidence" TargetMode="External"/><Relationship Id="rId10" Type="http://schemas.openxmlformats.org/officeDocument/2006/relationships/hyperlink" Target="mailto:bnssg.research@nhs.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uture.nhs.uk/covid19BNSSGcontrolcentre/view?objectId=20875280" TargetMode="External"/><Relationship Id="rId14" Type="http://schemas.openxmlformats.org/officeDocument/2006/relationships/hyperlink" Target="mailto:alex.ward-booth1@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jude.hancock\Downloads\Briefing%20Paper%20Template%20-%20January%202019%20(4).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Briefing Paper Template - January 2019 (4).dotx</Template>
  <TotalTime>56</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Hancock (BNSSG CCG)</dc:creator>
  <cp:lastModifiedBy>Jude Hancock (BNSSG CCG)</cp:lastModifiedBy>
  <cp:revision>3</cp:revision>
  <cp:lastPrinted>2018-03-07T09:22:00Z</cp:lastPrinted>
  <dcterms:created xsi:type="dcterms:W3CDTF">2020-08-11T11:53:00Z</dcterms:created>
  <dcterms:modified xsi:type="dcterms:W3CDTF">2020-08-11T12:49:00Z</dcterms:modified>
</cp:coreProperties>
</file>