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C85B7E" w14:textId="241C794F" w:rsidR="00142260" w:rsidRDefault="003C3DC1" w:rsidP="003C3DC1">
      <w:pPr>
        <w:pStyle w:val="Heading1"/>
        <w:spacing w:before="2400" w:after="3120"/>
      </w:pPr>
      <w:bookmarkStart w:id="0" w:name="_Toc81164250"/>
      <w:bookmarkStart w:id="1" w:name="_Toc169707929"/>
      <w:bookmarkStart w:id="2" w:name="_Toc176865360"/>
      <w:r>
        <w:rPr>
          <w:noProof/>
        </w:rPr>
        <w:drawing>
          <wp:anchor distT="0" distB="0" distL="114300" distR="114300" simplePos="0" relativeHeight="251658240" behindDoc="1" locked="0" layoutInCell="1" allowOverlap="1" wp14:anchorId="5017DF1E" wp14:editId="65A13344">
            <wp:simplePos x="0" y="0"/>
            <wp:positionH relativeFrom="column">
              <wp:posOffset>-257175</wp:posOffset>
            </wp:positionH>
            <wp:positionV relativeFrom="paragraph">
              <wp:posOffset>3967480</wp:posOffset>
            </wp:positionV>
            <wp:extent cx="6190615" cy="3482340"/>
            <wp:effectExtent l="0" t="0" r="635" b="3810"/>
            <wp:wrapTight wrapText="bothSides">
              <wp:wrapPolygon edited="0">
                <wp:start x="0" y="0"/>
                <wp:lineTo x="0" y="21505"/>
                <wp:lineTo x="21536" y="21505"/>
                <wp:lineTo x="21536" y="0"/>
                <wp:lineTo x="0" y="0"/>
              </wp:wrapPolygon>
            </wp:wrapTight>
            <wp:docPr id="1566882730" name="Picture 2" descr="A group of colorful circle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882730" name="Picture 2" descr="A group of colorful circles with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90615" cy="3482340"/>
                    </a:xfrm>
                    <a:prstGeom prst="rect">
                      <a:avLst/>
                    </a:prstGeom>
                  </pic:spPr>
                </pic:pic>
              </a:graphicData>
            </a:graphic>
          </wp:anchor>
        </w:drawing>
      </w:r>
      <w:r w:rsidR="00EE6E1E">
        <w:t>Information Governance</w:t>
      </w:r>
      <w:bookmarkEnd w:id="0"/>
      <w:bookmarkEnd w:id="1"/>
      <w:r w:rsidR="00EE6E1E">
        <w:t xml:space="preserve"> Management Framework</w:t>
      </w:r>
      <w:bookmarkEnd w:id="2"/>
    </w:p>
    <w:p w14:paraId="0DF0FD0B" w14:textId="1F6EA059" w:rsidR="00EB5F7E" w:rsidRPr="00EB5F7E" w:rsidRDefault="00EB5F7E" w:rsidP="00EB5F7E"/>
    <w:p w14:paraId="6E21243A" w14:textId="66AE5D0E" w:rsidR="001575A4" w:rsidRDefault="00B113D5" w:rsidP="001575A4">
      <w:pPr>
        <w:pBdr>
          <w:top w:val="single" w:sz="4" w:space="1" w:color="auto"/>
          <w:left w:val="single" w:sz="4" w:space="4" w:color="auto"/>
          <w:bottom w:val="single" w:sz="4" w:space="10" w:color="auto"/>
          <w:right w:val="single" w:sz="4" w:space="4" w:color="auto"/>
        </w:pBdr>
        <w:spacing w:after="0"/>
        <w:ind w:left="115" w:right="619"/>
      </w:pPr>
      <w:r>
        <w:br w:type="page"/>
      </w:r>
    </w:p>
    <w:tbl>
      <w:tblPr>
        <w:tblStyle w:val="TableGrid"/>
        <w:tblW w:w="9776" w:type="dxa"/>
        <w:tblLook w:val="0080" w:firstRow="0" w:lastRow="0" w:firstColumn="1" w:lastColumn="0" w:noHBand="0" w:noVBand="0"/>
      </w:tblPr>
      <w:tblGrid>
        <w:gridCol w:w="3964"/>
        <w:gridCol w:w="5812"/>
      </w:tblGrid>
      <w:tr w:rsidR="001A171F" w:rsidRPr="003728D4" w14:paraId="14584323" w14:textId="77777777" w:rsidTr="00DC511F">
        <w:tc>
          <w:tcPr>
            <w:tcW w:w="9776" w:type="dxa"/>
            <w:gridSpan w:val="2"/>
            <w:tcBorders>
              <w:top w:val="single" w:sz="4" w:space="0" w:color="auto"/>
              <w:bottom w:val="single" w:sz="4" w:space="0" w:color="FFFFFF" w:themeColor="background1"/>
            </w:tcBorders>
            <w:shd w:val="clear" w:color="auto" w:fill="1C1F63" w:themeFill="text1"/>
          </w:tcPr>
          <w:p w14:paraId="200C5652" w14:textId="23F15F3B" w:rsidR="00A31EB9" w:rsidRPr="00A31EB9" w:rsidRDefault="00A31EB9" w:rsidP="00991222">
            <w:pPr>
              <w:rPr>
                <w:rStyle w:val="Emphasis"/>
                <w:color w:val="FFFFFF" w:themeColor="background1"/>
              </w:rPr>
            </w:pPr>
            <w:r>
              <w:rPr>
                <w:rStyle w:val="Emphasis"/>
                <w:color w:val="FFFFFF" w:themeColor="background1"/>
              </w:rPr>
              <w:lastRenderedPageBreak/>
              <w:t xml:space="preserve">Complete the </w:t>
            </w:r>
            <w:r w:rsidR="00991222">
              <w:rPr>
                <w:rStyle w:val="Emphasis"/>
                <w:color w:val="FFFFFF" w:themeColor="background1"/>
              </w:rPr>
              <w:t xml:space="preserve">blank cells in the table below. The rest will be added by the </w:t>
            </w:r>
            <w:r>
              <w:rPr>
                <w:rStyle w:val="Emphasis"/>
                <w:color w:val="FFFFFF" w:themeColor="background1"/>
              </w:rPr>
              <w:t xml:space="preserve">corporate team once </w:t>
            </w:r>
            <w:r w:rsidR="00991222">
              <w:rPr>
                <w:rStyle w:val="Emphasis"/>
                <w:color w:val="FFFFFF" w:themeColor="background1"/>
              </w:rPr>
              <w:t xml:space="preserve">the </w:t>
            </w:r>
            <w:r>
              <w:rPr>
                <w:rStyle w:val="Emphasis"/>
                <w:color w:val="FFFFFF" w:themeColor="background1"/>
              </w:rPr>
              <w:t xml:space="preserve">policy approved and before </w:t>
            </w:r>
            <w:r w:rsidR="0094252A">
              <w:rPr>
                <w:rStyle w:val="Emphasis"/>
                <w:color w:val="FFFFFF" w:themeColor="background1"/>
              </w:rPr>
              <w:t>it is added to</w:t>
            </w:r>
            <w:r>
              <w:rPr>
                <w:rStyle w:val="Emphasis"/>
                <w:color w:val="FFFFFF" w:themeColor="background1"/>
              </w:rPr>
              <w:t xml:space="preserve"> the website.</w:t>
            </w:r>
          </w:p>
        </w:tc>
      </w:tr>
      <w:tr w:rsidR="001575A4" w:rsidRPr="003728D4" w14:paraId="79AFC3CF" w14:textId="77777777" w:rsidTr="00DC511F">
        <w:tc>
          <w:tcPr>
            <w:tcW w:w="3964" w:type="dxa"/>
            <w:tcBorders>
              <w:top w:val="single" w:sz="4" w:space="0" w:color="FFFFFF" w:themeColor="background1"/>
              <w:bottom w:val="single" w:sz="4" w:space="0" w:color="FFFFFF" w:themeColor="background1"/>
            </w:tcBorders>
            <w:shd w:val="clear" w:color="auto" w:fill="1C1F63" w:themeFill="text1"/>
          </w:tcPr>
          <w:p w14:paraId="0877C5CD" w14:textId="77777777" w:rsidR="001575A4" w:rsidRPr="003728D4" w:rsidRDefault="001575A4" w:rsidP="00BA7476">
            <w:pPr>
              <w:rPr>
                <w:b/>
                <w:i/>
                <w:color w:val="FF0000"/>
                <w:szCs w:val="20"/>
              </w:rPr>
            </w:pPr>
            <w:r w:rsidRPr="003728D4">
              <w:rPr>
                <w:b/>
                <w:szCs w:val="20"/>
              </w:rPr>
              <w:t>Policy ref no:</w:t>
            </w:r>
          </w:p>
        </w:tc>
        <w:tc>
          <w:tcPr>
            <w:tcW w:w="5812" w:type="dxa"/>
            <w:tcBorders>
              <w:top w:val="nil"/>
            </w:tcBorders>
          </w:tcPr>
          <w:p w14:paraId="75EBFF58" w14:textId="50C23E8F" w:rsidR="001575A4" w:rsidRPr="00CD24D2" w:rsidRDefault="001575A4" w:rsidP="00BA7476">
            <w:pPr>
              <w:rPr>
                <w:color w:val="D90000"/>
                <w:szCs w:val="20"/>
              </w:rPr>
            </w:pPr>
          </w:p>
        </w:tc>
      </w:tr>
      <w:tr w:rsidR="001575A4" w:rsidRPr="003728D4" w14:paraId="694E358B" w14:textId="77777777" w:rsidTr="00DC511F">
        <w:tc>
          <w:tcPr>
            <w:tcW w:w="3964" w:type="dxa"/>
            <w:tcBorders>
              <w:top w:val="single" w:sz="4" w:space="0" w:color="FFFFFF" w:themeColor="background1"/>
              <w:bottom w:val="single" w:sz="4" w:space="0" w:color="FFFFFF" w:themeColor="background1"/>
            </w:tcBorders>
            <w:shd w:val="clear" w:color="auto" w:fill="1C1F63" w:themeFill="text1"/>
          </w:tcPr>
          <w:p w14:paraId="66F7CB51" w14:textId="77777777" w:rsidR="001575A4" w:rsidRPr="003728D4" w:rsidRDefault="001575A4" w:rsidP="00BA7476">
            <w:pPr>
              <w:rPr>
                <w:b/>
                <w:szCs w:val="20"/>
              </w:rPr>
            </w:pPr>
            <w:r>
              <w:rPr>
                <w:b/>
                <w:szCs w:val="20"/>
              </w:rPr>
              <w:t>Responsible Executive Director:</w:t>
            </w:r>
          </w:p>
        </w:tc>
        <w:tc>
          <w:tcPr>
            <w:tcW w:w="5812" w:type="dxa"/>
          </w:tcPr>
          <w:p w14:paraId="4B3FCAA7" w14:textId="68312325" w:rsidR="001575A4" w:rsidRPr="003728D4" w:rsidRDefault="00EE6E1E" w:rsidP="00BA7476">
            <w:pPr>
              <w:rPr>
                <w:szCs w:val="20"/>
              </w:rPr>
            </w:pPr>
            <w:r>
              <w:rPr>
                <w:szCs w:val="20"/>
              </w:rPr>
              <w:t xml:space="preserve">Deb </w:t>
            </w:r>
            <w:proofErr w:type="spellStart"/>
            <w:r>
              <w:rPr>
                <w:szCs w:val="20"/>
              </w:rPr>
              <w:t>El-Sayed</w:t>
            </w:r>
            <w:proofErr w:type="spellEnd"/>
          </w:p>
        </w:tc>
      </w:tr>
      <w:tr w:rsidR="001575A4" w:rsidRPr="003728D4" w14:paraId="373DE510" w14:textId="77777777" w:rsidTr="00DC511F">
        <w:tc>
          <w:tcPr>
            <w:tcW w:w="3964" w:type="dxa"/>
            <w:tcBorders>
              <w:top w:val="single" w:sz="4" w:space="0" w:color="FFFFFF" w:themeColor="background1"/>
              <w:bottom w:val="single" w:sz="4" w:space="0" w:color="FFFFFF" w:themeColor="background1"/>
            </w:tcBorders>
            <w:shd w:val="clear" w:color="auto" w:fill="1C1F63" w:themeFill="text1"/>
          </w:tcPr>
          <w:p w14:paraId="7868FD45" w14:textId="77777777" w:rsidR="001575A4" w:rsidRPr="00ED2842" w:rsidRDefault="001575A4" w:rsidP="00BA7476">
            <w:pPr>
              <w:rPr>
                <w:b/>
                <w:szCs w:val="20"/>
              </w:rPr>
            </w:pPr>
            <w:r w:rsidRPr="00ED2842">
              <w:rPr>
                <w:rFonts w:cs="Arial"/>
                <w:b/>
              </w:rPr>
              <w:t xml:space="preserve">Author </w:t>
            </w:r>
            <w:r>
              <w:rPr>
                <w:rFonts w:cs="Arial"/>
                <w:b/>
              </w:rPr>
              <w:t>and Job Title:</w:t>
            </w:r>
          </w:p>
        </w:tc>
        <w:tc>
          <w:tcPr>
            <w:tcW w:w="5812" w:type="dxa"/>
          </w:tcPr>
          <w:p w14:paraId="6EC92FDB" w14:textId="01E30ABE" w:rsidR="001575A4" w:rsidRPr="008A6883" w:rsidRDefault="00EE6E1E" w:rsidP="00BA7476">
            <w:pPr>
              <w:rPr>
                <w:rFonts w:cs="Arial"/>
                <w:b/>
                <w:bCs/>
                <w:sz w:val="18"/>
                <w:szCs w:val="18"/>
              </w:rPr>
            </w:pPr>
            <w:r>
              <w:rPr>
                <w:szCs w:val="20"/>
              </w:rPr>
              <w:t>IG Team, South Central and West Commissioning Support Unit (SCW)</w:t>
            </w:r>
          </w:p>
        </w:tc>
      </w:tr>
      <w:tr w:rsidR="001575A4" w:rsidRPr="003728D4" w14:paraId="714BB61C" w14:textId="77777777" w:rsidTr="00DC511F">
        <w:tc>
          <w:tcPr>
            <w:tcW w:w="3964" w:type="dxa"/>
            <w:tcBorders>
              <w:top w:val="single" w:sz="4" w:space="0" w:color="FFFFFF" w:themeColor="background1"/>
              <w:bottom w:val="single" w:sz="4" w:space="0" w:color="FFFFFF" w:themeColor="background1"/>
            </w:tcBorders>
            <w:shd w:val="clear" w:color="auto" w:fill="1C1F63" w:themeFill="text1"/>
          </w:tcPr>
          <w:p w14:paraId="5C895E11" w14:textId="77777777" w:rsidR="001575A4" w:rsidRPr="003728D4" w:rsidRDefault="001575A4" w:rsidP="00BA7476">
            <w:pPr>
              <w:rPr>
                <w:b/>
                <w:szCs w:val="20"/>
              </w:rPr>
            </w:pPr>
            <w:r w:rsidRPr="003728D4">
              <w:rPr>
                <w:b/>
                <w:szCs w:val="20"/>
              </w:rPr>
              <w:t>Date Approved</w:t>
            </w:r>
            <w:r>
              <w:rPr>
                <w:b/>
                <w:szCs w:val="20"/>
              </w:rPr>
              <w:t>:</w:t>
            </w:r>
          </w:p>
        </w:tc>
        <w:tc>
          <w:tcPr>
            <w:tcW w:w="5812" w:type="dxa"/>
          </w:tcPr>
          <w:p w14:paraId="1CEAA86A" w14:textId="0A0101BC" w:rsidR="001575A4" w:rsidRPr="00EE6E1E" w:rsidRDefault="00EE6E1E" w:rsidP="00BA7476">
            <w:pPr>
              <w:rPr>
                <w:szCs w:val="20"/>
              </w:rPr>
            </w:pPr>
            <w:r w:rsidRPr="00EE6E1E">
              <w:rPr>
                <w:szCs w:val="20"/>
              </w:rPr>
              <w:t>14</w:t>
            </w:r>
            <w:r w:rsidRPr="00EE6E1E">
              <w:rPr>
                <w:szCs w:val="20"/>
                <w:vertAlign w:val="superscript"/>
              </w:rPr>
              <w:t>th</w:t>
            </w:r>
            <w:r w:rsidRPr="00EE6E1E">
              <w:rPr>
                <w:szCs w:val="20"/>
              </w:rPr>
              <w:t xml:space="preserve"> June 2024</w:t>
            </w:r>
          </w:p>
        </w:tc>
      </w:tr>
      <w:tr w:rsidR="001575A4" w:rsidRPr="003728D4" w14:paraId="4CC512D0" w14:textId="77777777" w:rsidTr="00DC511F">
        <w:tc>
          <w:tcPr>
            <w:tcW w:w="3964" w:type="dxa"/>
            <w:tcBorders>
              <w:top w:val="single" w:sz="4" w:space="0" w:color="FFFFFF" w:themeColor="background1"/>
              <w:bottom w:val="single" w:sz="4" w:space="0" w:color="FFFFFF" w:themeColor="background1"/>
            </w:tcBorders>
            <w:shd w:val="clear" w:color="auto" w:fill="1C1F63" w:themeFill="text1"/>
          </w:tcPr>
          <w:p w14:paraId="00963494" w14:textId="77777777" w:rsidR="001575A4" w:rsidRPr="003728D4" w:rsidRDefault="001575A4" w:rsidP="00BA7476">
            <w:pPr>
              <w:rPr>
                <w:b/>
                <w:szCs w:val="20"/>
              </w:rPr>
            </w:pPr>
            <w:r w:rsidRPr="003728D4">
              <w:rPr>
                <w:b/>
                <w:szCs w:val="20"/>
              </w:rPr>
              <w:t>Approved by</w:t>
            </w:r>
            <w:r>
              <w:rPr>
                <w:b/>
                <w:szCs w:val="20"/>
              </w:rPr>
              <w:t>:</w:t>
            </w:r>
          </w:p>
        </w:tc>
        <w:tc>
          <w:tcPr>
            <w:tcW w:w="5812" w:type="dxa"/>
          </w:tcPr>
          <w:p w14:paraId="1D6BD487" w14:textId="4CBFF9ED" w:rsidR="001575A4" w:rsidRPr="00EE6E1E" w:rsidRDefault="00EE6E1E" w:rsidP="00BA7476">
            <w:pPr>
              <w:rPr>
                <w:i/>
                <w:szCs w:val="20"/>
              </w:rPr>
            </w:pPr>
            <w:r w:rsidRPr="00EE6E1E">
              <w:rPr>
                <w:i/>
                <w:szCs w:val="20"/>
              </w:rPr>
              <w:t xml:space="preserve">Deb </w:t>
            </w:r>
            <w:proofErr w:type="spellStart"/>
            <w:r w:rsidRPr="00EE6E1E">
              <w:rPr>
                <w:i/>
                <w:szCs w:val="20"/>
              </w:rPr>
              <w:t>El-Sayed</w:t>
            </w:r>
            <w:proofErr w:type="spellEnd"/>
            <w:r w:rsidRPr="00EE6E1E">
              <w:rPr>
                <w:i/>
                <w:szCs w:val="20"/>
              </w:rPr>
              <w:t>, SIRO and Information Governance Group</w:t>
            </w:r>
          </w:p>
        </w:tc>
      </w:tr>
      <w:tr w:rsidR="001575A4" w:rsidRPr="003728D4" w14:paraId="7FD1D5BD" w14:textId="77777777" w:rsidTr="00DC511F">
        <w:tc>
          <w:tcPr>
            <w:tcW w:w="3964" w:type="dxa"/>
            <w:tcBorders>
              <w:top w:val="single" w:sz="4" w:space="0" w:color="FFFFFF" w:themeColor="background1"/>
            </w:tcBorders>
            <w:shd w:val="clear" w:color="auto" w:fill="1C1F63" w:themeFill="text1"/>
          </w:tcPr>
          <w:p w14:paraId="3F6F9DC0" w14:textId="77777777" w:rsidR="001575A4" w:rsidRPr="003728D4" w:rsidRDefault="001575A4" w:rsidP="00BA7476">
            <w:pPr>
              <w:rPr>
                <w:b/>
                <w:szCs w:val="20"/>
              </w:rPr>
            </w:pPr>
            <w:r w:rsidRPr="003728D4">
              <w:rPr>
                <w:b/>
                <w:szCs w:val="20"/>
              </w:rPr>
              <w:t>Date of next review</w:t>
            </w:r>
            <w:r>
              <w:rPr>
                <w:b/>
                <w:szCs w:val="20"/>
              </w:rPr>
              <w:t>:</w:t>
            </w:r>
          </w:p>
        </w:tc>
        <w:tc>
          <w:tcPr>
            <w:tcW w:w="5812" w:type="dxa"/>
          </w:tcPr>
          <w:p w14:paraId="3803AB5D" w14:textId="35086D6A" w:rsidR="001575A4" w:rsidRPr="003728D4" w:rsidRDefault="00EE6E1E" w:rsidP="00BA7476">
            <w:pPr>
              <w:rPr>
                <w:szCs w:val="20"/>
              </w:rPr>
            </w:pPr>
            <w:r>
              <w:rPr>
                <w:szCs w:val="20"/>
              </w:rPr>
              <w:t>June 2026</w:t>
            </w:r>
          </w:p>
        </w:tc>
      </w:tr>
    </w:tbl>
    <w:p w14:paraId="3001B463" w14:textId="395A0876" w:rsidR="001575A4" w:rsidRPr="00F63300" w:rsidRDefault="00F63300" w:rsidP="00F63300">
      <w:pPr>
        <w:pStyle w:val="Heading2"/>
      </w:pPr>
      <w:bookmarkStart w:id="3" w:name="_Toc81164251"/>
      <w:bookmarkStart w:id="4" w:name="_Toc169707930"/>
      <w:bookmarkStart w:id="5" w:name="_Toc176865361"/>
      <w:r w:rsidRPr="00F63300">
        <w:t>P</w:t>
      </w:r>
      <w:r w:rsidR="001575A4" w:rsidRPr="00F63300">
        <w:t>olicy Review Checklist</w:t>
      </w:r>
      <w:bookmarkEnd w:id="3"/>
      <w:bookmarkEnd w:id="4"/>
      <w:bookmarkEnd w:id="5"/>
    </w:p>
    <w:tbl>
      <w:tblPr>
        <w:tblStyle w:val="TableGrid"/>
        <w:tblW w:w="9776" w:type="dxa"/>
        <w:tblLook w:val="0020" w:firstRow="1" w:lastRow="0" w:firstColumn="0" w:lastColumn="0" w:noHBand="0" w:noVBand="0"/>
      </w:tblPr>
      <w:tblGrid>
        <w:gridCol w:w="4097"/>
        <w:gridCol w:w="1443"/>
        <w:gridCol w:w="4236"/>
      </w:tblGrid>
      <w:tr w:rsidR="001575A4" w:rsidRPr="00ED2842" w14:paraId="5834951C" w14:textId="77777777" w:rsidTr="00A17017">
        <w:trPr>
          <w:cantSplit/>
          <w:tblHeader/>
        </w:trPr>
        <w:tc>
          <w:tcPr>
            <w:tcW w:w="4097" w:type="dxa"/>
            <w:shd w:val="clear" w:color="auto" w:fill="1C1F63" w:themeFill="text1"/>
          </w:tcPr>
          <w:p w14:paraId="4C721633" w14:textId="77777777" w:rsidR="001575A4" w:rsidRPr="003728D4" w:rsidRDefault="001575A4" w:rsidP="00BA7476">
            <w:pPr>
              <w:rPr>
                <w:b/>
                <w:szCs w:val="20"/>
              </w:rPr>
            </w:pPr>
          </w:p>
        </w:tc>
        <w:tc>
          <w:tcPr>
            <w:tcW w:w="1443" w:type="dxa"/>
            <w:shd w:val="clear" w:color="auto" w:fill="1C1F63" w:themeFill="text1"/>
          </w:tcPr>
          <w:p w14:paraId="4FCA935E" w14:textId="7DDF2E20" w:rsidR="001575A4" w:rsidRPr="003728D4" w:rsidRDefault="001575A4" w:rsidP="00BA7476">
            <w:pPr>
              <w:jc w:val="center"/>
              <w:rPr>
                <w:b/>
                <w:szCs w:val="20"/>
              </w:rPr>
            </w:pPr>
            <w:r w:rsidRPr="00184711">
              <w:rPr>
                <w:b/>
                <w:color w:val="FFFFFF" w:themeColor="background1"/>
                <w:szCs w:val="20"/>
              </w:rPr>
              <w:t xml:space="preserve">Yes/No/NA </w:t>
            </w:r>
          </w:p>
        </w:tc>
        <w:tc>
          <w:tcPr>
            <w:tcW w:w="4236" w:type="dxa"/>
            <w:shd w:val="clear" w:color="auto" w:fill="1C1F63" w:themeFill="text1"/>
          </w:tcPr>
          <w:p w14:paraId="29846C1E" w14:textId="77777777" w:rsidR="001575A4" w:rsidRPr="00ED2842" w:rsidRDefault="001575A4" w:rsidP="00BA7476">
            <w:pPr>
              <w:rPr>
                <w:b/>
                <w:szCs w:val="20"/>
              </w:rPr>
            </w:pPr>
            <w:r w:rsidRPr="00ED2842">
              <w:rPr>
                <w:b/>
                <w:szCs w:val="20"/>
              </w:rPr>
              <w:t>Supporting information</w:t>
            </w:r>
          </w:p>
        </w:tc>
      </w:tr>
      <w:tr w:rsidR="001575A4" w:rsidRPr="003728D4" w14:paraId="1A63BC96" w14:textId="77777777" w:rsidTr="00A17017">
        <w:tc>
          <w:tcPr>
            <w:tcW w:w="4097" w:type="dxa"/>
          </w:tcPr>
          <w:p w14:paraId="744947AF" w14:textId="77777777" w:rsidR="001575A4" w:rsidRPr="003728D4" w:rsidRDefault="001575A4" w:rsidP="00BA7476">
            <w:pPr>
              <w:rPr>
                <w:szCs w:val="20"/>
              </w:rPr>
            </w:pPr>
            <w:r w:rsidRPr="003728D4">
              <w:rPr>
                <w:szCs w:val="20"/>
              </w:rPr>
              <w:t>Has an Equality Impact Assessment Screening been completed?</w:t>
            </w:r>
          </w:p>
        </w:tc>
        <w:tc>
          <w:tcPr>
            <w:tcW w:w="1443" w:type="dxa"/>
          </w:tcPr>
          <w:p w14:paraId="3A4FEFB9" w14:textId="2D110CDA" w:rsidR="001575A4" w:rsidRPr="003728D4" w:rsidRDefault="00EE6E1E" w:rsidP="00BA7476">
            <w:pPr>
              <w:jc w:val="center"/>
              <w:rPr>
                <w:szCs w:val="20"/>
              </w:rPr>
            </w:pPr>
            <w:r>
              <w:rPr>
                <w:szCs w:val="20"/>
              </w:rPr>
              <w:t>Yes</w:t>
            </w:r>
          </w:p>
        </w:tc>
        <w:tc>
          <w:tcPr>
            <w:tcW w:w="4236" w:type="dxa"/>
          </w:tcPr>
          <w:p w14:paraId="27AC5C75" w14:textId="77777777" w:rsidR="001575A4" w:rsidRPr="003728D4" w:rsidRDefault="001575A4" w:rsidP="00BA7476">
            <w:pPr>
              <w:jc w:val="center"/>
              <w:rPr>
                <w:color w:val="FF0000"/>
                <w:szCs w:val="20"/>
              </w:rPr>
            </w:pPr>
          </w:p>
        </w:tc>
      </w:tr>
      <w:tr w:rsidR="001575A4" w:rsidRPr="003728D4" w14:paraId="67EDCA16" w14:textId="77777777" w:rsidTr="00A17017">
        <w:tc>
          <w:tcPr>
            <w:tcW w:w="4097" w:type="dxa"/>
          </w:tcPr>
          <w:p w14:paraId="7F46964A" w14:textId="77777777" w:rsidR="001575A4" w:rsidRPr="003728D4" w:rsidRDefault="001575A4" w:rsidP="00BA7476">
            <w:pPr>
              <w:rPr>
                <w:szCs w:val="20"/>
              </w:rPr>
            </w:pPr>
            <w:r>
              <w:rPr>
                <w:szCs w:val="20"/>
              </w:rPr>
              <w:t>Has the r</w:t>
            </w:r>
            <w:r w:rsidRPr="003728D4">
              <w:rPr>
                <w:szCs w:val="20"/>
              </w:rPr>
              <w:t>eview taken account of latest Guidance/Legislation</w:t>
            </w:r>
            <w:r>
              <w:rPr>
                <w:szCs w:val="20"/>
              </w:rPr>
              <w:t>?</w:t>
            </w:r>
          </w:p>
        </w:tc>
        <w:tc>
          <w:tcPr>
            <w:tcW w:w="1443" w:type="dxa"/>
          </w:tcPr>
          <w:p w14:paraId="52007FE1" w14:textId="0A3C6EBE" w:rsidR="001575A4" w:rsidRPr="003728D4" w:rsidRDefault="00EE6E1E" w:rsidP="00BA7476">
            <w:pPr>
              <w:jc w:val="center"/>
              <w:rPr>
                <w:szCs w:val="20"/>
              </w:rPr>
            </w:pPr>
            <w:r>
              <w:rPr>
                <w:szCs w:val="20"/>
              </w:rPr>
              <w:t>Yes</w:t>
            </w:r>
          </w:p>
        </w:tc>
        <w:tc>
          <w:tcPr>
            <w:tcW w:w="4236" w:type="dxa"/>
          </w:tcPr>
          <w:p w14:paraId="7836C343" w14:textId="77777777" w:rsidR="001575A4" w:rsidRPr="003728D4" w:rsidRDefault="001575A4" w:rsidP="00BA7476">
            <w:pPr>
              <w:jc w:val="center"/>
              <w:rPr>
                <w:szCs w:val="20"/>
              </w:rPr>
            </w:pPr>
          </w:p>
        </w:tc>
      </w:tr>
      <w:tr w:rsidR="001575A4" w:rsidRPr="003728D4" w14:paraId="1A19AC17" w14:textId="77777777" w:rsidTr="00A17017">
        <w:tc>
          <w:tcPr>
            <w:tcW w:w="4097" w:type="dxa"/>
          </w:tcPr>
          <w:p w14:paraId="286EABCC" w14:textId="77777777" w:rsidR="001575A4" w:rsidRPr="003728D4" w:rsidRDefault="001575A4" w:rsidP="00BA7476">
            <w:pPr>
              <w:rPr>
                <w:szCs w:val="20"/>
              </w:rPr>
            </w:pPr>
            <w:r w:rsidRPr="003728D4">
              <w:rPr>
                <w:szCs w:val="20"/>
              </w:rPr>
              <w:t>Has legal advice been sought?</w:t>
            </w:r>
          </w:p>
        </w:tc>
        <w:tc>
          <w:tcPr>
            <w:tcW w:w="1443" w:type="dxa"/>
          </w:tcPr>
          <w:p w14:paraId="38C189FA" w14:textId="0090C2BF" w:rsidR="001575A4" w:rsidRPr="003728D4" w:rsidRDefault="00EE6E1E" w:rsidP="00BA7476">
            <w:pPr>
              <w:jc w:val="center"/>
              <w:rPr>
                <w:szCs w:val="20"/>
              </w:rPr>
            </w:pPr>
            <w:r>
              <w:rPr>
                <w:szCs w:val="20"/>
              </w:rPr>
              <w:t>N/A</w:t>
            </w:r>
          </w:p>
        </w:tc>
        <w:tc>
          <w:tcPr>
            <w:tcW w:w="4236" w:type="dxa"/>
          </w:tcPr>
          <w:p w14:paraId="73D6FFA1" w14:textId="77777777" w:rsidR="001575A4" w:rsidRPr="003728D4" w:rsidRDefault="001575A4" w:rsidP="00BA7476">
            <w:pPr>
              <w:jc w:val="center"/>
              <w:rPr>
                <w:szCs w:val="20"/>
              </w:rPr>
            </w:pPr>
          </w:p>
        </w:tc>
      </w:tr>
      <w:tr w:rsidR="001575A4" w:rsidRPr="003728D4" w14:paraId="0BD047F9" w14:textId="77777777" w:rsidTr="00A17017">
        <w:tc>
          <w:tcPr>
            <w:tcW w:w="4097" w:type="dxa"/>
          </w:tcPr>
          <w:p w14:paraId="65EBB7B5" w14:textId="77777777" w:rsidR="001575A4" w:rsidRPr="003728D4" w:rsidRDefault="001575A4" w:rsidP="00BA7476">
            <w:pPr>
              <w:rPr>
                <w:szCs w:val="20"/>
              </w:rPr>
            </w:pPr>
            <w:r w:rsidRPr="003728D4">
              <w:rPr>
                <w:szCs w:val="20"/>
              </w:rPr>
              <w:t>Ha</w:t>
            </w:r>
            <w:r>
              <w:rPr>
                <w:szCs w:val="20"/>
              </w:rPr>
              <w:t>s</w:t>
            </w:r>
            <w:r w:rsidRPr="003728D4">
              <w:rPr>
                <w:szCs w:val="20"/>
              </w:rPr>
              <w:t xml:space="preserve"> HR been consulted?</w:t>
            </w:r>
          </w:p>
        </w:tc>
        <w:tc>
          <w:tcPr>
            <w:tcW w:w="1443" w:type="dxa"/>
          </w:tcPr>
          <w:p w14:paraId="1EF3944A" w14:textId="1E1D8F6E" w:rsidR="001575A4" w:rsidRPr="003728D4" w:rsidRDefault="00EE6E1E" w:rsidP="00BA7476">
            <w:pPr>
              <w:jc w:val="center"/>
              <w:rPr>
                <w:szCs w:val="20"/>
              </w:rPr>
            </w:pPr>
            <w:r>
              <w:rPr>
                <w:szCs w:val="20"/>
              </w:rPr>
              <w:t>N/A</w:t>
            </w:r>
          </w:p>
        </w:tc>
        <w:tc>
          <w:tcPr>
            <w:tcW w:w="4236" w:type="dxa"/>
          </w:tcPr>
          <w:p w14:paraId="018CA631" w14:textId="36643A54" w:rsidR="001575A4" w:rsidRPr="003728D4" w:rsidRDefault="001575A4" w:rsidP="00BA7476">
            <w:pPr>
              <w:jc w:val="center"/>
              <w:rPr>
                <w:color w:val="FF0000"/>
                <w:szCs w:val="20"/>
              </w:rPr>
            </w:pPr>
          </w:p>
        </w:tc>
      </w:tr>
      <w:tr w:rsidR="001575A4" w:rsidRPr="003728D4" w14:paraId="31CD7AB5" w14:textId="77777777" w:rsidTr="00A17017">
        <w:tc>
          <w:tcPr>
            <w:tcW w:w="4097" w:type="dxa"/>
          </w:tcPr>
          <w:p w14:paraId="5065C857" w14:textId="77777777" w:rsidR="001575A4" w:rsidRPr="003728D4" w:rsidRDefault="001575A4" w:rsidP="00BA7476">
            <w:pPr>
              <w:rPr>
                <w:szCs w:val="20"/>
              </w:rPr>
            </w:pPr>
            <w:r w:rsidRPr="003728D4">
              <w:rPr>
                <w:szCs w:val="20"/>
              </w:rPr>
              <w:t>Have training issues been addressed?</w:t>
            </w:r>
          </w:p>
        </w:tc>
        <w:tc>
          <w:tcPr>
            <w:tcW w:w="1443" w:type="dxa"/>
          </w:tcPr>
          <w:p w14:paraId="6BC38F60" w14:textId="2E93C160" w:rsidR="001575A4" w:rsidRPr="00EE6E1E" w:rsidRDefault="00EE6E1E" w:rsidP="00BA7476">
            <w:pPr>
              <w:jc w:val="center"/>
              <w:rPr>
                <w:szCs w:val="20"/>
              </w:rPr>
            </w:pPr>
            <w:r w:rsidRPr="00EE6E1E">
              <w:rPr>
                <w:szCs w:val="20"/>
              </w:rPr>
              <w:t>Yes</w:t>
            </w:r>
          </w:p>
        </w:tc>
        <w:tc>
          <w:tcPr>
            <w:tcW w:w="4236" w:type="dxa"/>
          </w:tcPr>
          <w:p w14:paraId="48604F42" w14:textId="4F2893A8" w:rsidR="001575A4" w:rsidRPr="00EE6E1E" w:rsidRDefault="00EE6E1E" w:rsidP="00BA7476">
            <w:pPr>
              <w:jc w:val="center"/>
              <w:rPr>
                <w:szCs w:val="20"/>
              </w:rPr>
            </w:pPr>
            <w:r w:rsidRPr="00EE6E1E">
              <w:rPr>
                <w:szCs w:val="20"/>
              </w:rPr>
              <w:t>Support is available via SCW CSU IG Consultant</w:t>
            </w:r>
          </w:p>
        </w:tc>
      </w:tr>
      <w:tr w:rsidR="001575A4" w:rsidRPr="003728D4" w14:paraId="77008D08" w14:textId="77777777" w:rsidTr="00A17017">
        <w:tc>
          <w:tcPr>
            <w:tcW w:w="4097" w:type="dxa"/>
          </w:tcPr>
          <w:p w14:paraId="32E94287" w14:textId="77777777" w:rsidR="001575A4" w:rsidRPr="00C85064" w:rsidRDefault="001575A4" w:rsidP="00BA7476">
            <w:pPr>
              <w:rPr>
                <w:szCs w:val="20"/>
              </w:rPr>
            </w:pPr>
            <w:r w:rsidRPr="003728D4">
              <w:rPr>
                <w:szCs w:val="20"/>
              </w:rPr>
              <w:t>Are there other HR related issues that need to be considered</w:t>
            </w:r>
            <w:r>
              <w:rPr>
                <w:szCs w:val="20"/>
              </w:rPr>
              <w:t>?</w:t>
            </w:r>
          </w:p>
        </w:tc>
        <w:tc>
          <w:tcPr>
            <w:tcW w:w="1443" w:type="dxa"/>
          </w:tcPr>
          <w:p w14:paraId="39AA078A" w14:textId="6824B493" w:rsidR="001575A4" w:rsidRPr="00EE6E1E" w:rsidRDefault="00EE6E1E" w:rsidP="00BA7476">
            <w:pPr>
              <w:jc w:val="center"/>
              <w:rPr>
                <w:szCs w:val="20"/>
              </w:rPr>
            </w:pPr>
            <w:r w:rsidRPr="00EE6E1E">
              <w:rPr>
                <w:szCs w:val="20"/>
              </w:rPr>
              <w:t>No</w:t>
            </w:r>
          </w:p>
        </w:tc>
        <w:tc>
          <w:tcPr>
            <w:tcW w:w="4236" w:type="dxa"/>
          </w:tcPr>
          <w:p w14:paraId="4AF01272" w14:textId="77777777" w:rsidR="001575A4" w:rsidRPr="00EE6E1E" w:rsidRDefault="001575A4" w:rsidP="00BA7476">
            <w:pPr>
              <w:jc w:val="center"/>
              <w:rPr>
                <w:szCs w:val="20"/>
              </w:rPr>
            </w:pPr>
          </w:p>
        </w:tc>
      </w:tr>
      <w:tr w:rsidR="001575A4" w:rsidRPr="003728D4" w14:paraId="0B8E40D6" w14:textId="77777777" w:rsidTr="00A17017">
        <w:tc>
          <w:tcPr>
            <w:tcW w:w="4097" w:type="dxa"/>
          </w:tcPr>
          <w:p w14:paraId="6B2F6224" w14:textId="77777777" w:rsidR="001575A4" w:rsidRPr="003728D4" w:rsidRDefault="001575A4" w:rsidP="00BA7476">
            <w:pPr>
              <w:rPr>
                <w:szCs w:val="20"/>
              </w:rPr>
            </w:pPr>
            <w:r w:rsidRPr="003728D4">
              <w:rPr>
                <w:szCs w:val="20"/>
              </w:rPr>
              <w:t xml:space="preserve">Has the policy been reviewed by </w:t>
            </w:r>
            <w:r>
              <w:rPr>
                <w:szCs w:val="20"/>
              </w:rPr>
              <w:t>Staff Partnership Forum?</w:t>
            </w:r>
            <w:r w:rsidRPr="003728D4">
              <w:rPr>
                <w:szCs w:val="20"/>
              </w:rPr>
              <w:t xml:space="preserve"> </w:t>
            </w:r>
          </w:p>
        </w:tc>
        <w:tc>
          <w:tcPr>
            <w:tcW w:w="1443" w:type="dxa"/>
          </w:tcPr>
          <w:p w14:paraId="13D4F132" w14:textId="69DF1938" w:rsidR="001575A4" w:rsidRPr="00EE6E1E" w:rsidRDefault="00EE6E1E" w:rsidP="00BA7476">
            <w:pPr>
              <w:jc w:val="center"/>
              <w:rPr>
                <w:szCs w:val="20"/>
              </w:rPr>
            </w:pPr>
            <w:r w:rsidRPr="00EE6E1E">
              <w:rPr>
                <w:szCs w:val="20"/>
              </w:rPr>
              <w:t>N/A</w:t>
            </w:r>
          </w:p>
        </w:tc>
        <w:tc>
          <w:tcPr>
            <w:tcW w:w="4236" w:type="dxa"/>
          </w:tcPr>
          <w:p w14:paraId="6B35D737" w14:textId="614F32FF" w:rsidR="001575A4" w:rsidRPr="00EE6E1E" w:rsidRDefault="00EE6E1E" w:rsidP="00BA7476">
            <w:pPr>
              <w:jc w:val="center"/>
              <w:rPr>
                <w:szCs w:val="20"/>
              </w:rPr>
            </w:pPr>
            <w:r w:rsidRPr="00EE6E1E">
              <w:rPr>
                <w:szCs w:val="20"/>
              </w:rPr>
              <w:t>This is not a framework related to HR</w:t>
            </w:r>
          </w:p>
        </w:tc>
      </w:tr>
      <w:tr w:rsidR="00A17017" w:rsidRPr="003728D4" w14:paraId="1231BA5B" w14:textId="77777777" w:rsidTr="00A17017">
        <w:tc>
          <w:tcPr>
            <w:tcW w:w="4097" w:type="dxa"/>
          </w:tcPr>
          <w:p w14:paraId="49BE6A05" w14:textId="6805CAF2" w:rsidR="00A17017" w:rsidRPr="003728D4" w:rsidRDefault="00A17017" w:rsidP="00A17017">
            <w:pPr>
              <w:rPr>
                <w:szCs w:val="20"/>
              </w:rPr>
            </w:pPr>
            <w:r w:rsidRPr="003728D4">
              <w:rPr>
                <w:szCs w:val="20"/>
              </w:rPr>
              <w:t>Are there financial issues and have they been addressed</w:t>
            </w:r>
            <w:r>
              <w:rPr>
                <w:szCs w:val="20"/>
              </w:rPr>
              <w:t>?</w:t>
            </w:r>
          </w:p>
        </w:tc>
        <w:tc>
          <w:tcPr>
            <w:tcW w:w="1443" w:type="dxa"/>
          </w:tcPr>
          <w:p w14:paraId="28F6130A" w14:textId="76ED3DA5" w:rsidR="00A17017" w:rsidRPr="00EE6E1E" w:rsidRDefault="00EE6E1E" w:rsidP="00A17017">
            <w:pPr>
              <w:jc w:val="center"/>
              <w:rPr>
                <w:szCs w:val="20"/>
              </w:rPr>
            </w:pPr>
            <w:r w:rsidRPr="00EE6E1E">
              <w:rPr>
                <w:szCs w:val="20"/>
              </w:rPr>
              <w:t>N/A</w:t>
            </w:r>
          </w:p>
        </w:tc>
        <w:tc>
          <w:tcPr>
            <w:tcW w:w="4236" w:type="dxa"/>
          </w:tcPr>
          <w:p w14:paraId="03453C94" w14:textId="77777777" w:rsidR="00A17017" w:rsidRPr="00EE6E1E" w:rsidRDefault="00A17017" w:rsidP="00A17017">
            <w:pPr>
              <w:jc w:val="center"/>
              <w:rPr>
                <w:szCs w:val="20"/>
              </w:rPr>
            </w:pPr>
          </w:p>
        </w:tc>
      </w:tr>
      <w:tr w:rsidR="00A17017" w:rsidRPr="003728D4" w14:paraId="177DF004" w14:textId="77777777" w:rsidTr="00A17017">
        <w:tc>
          <w:tcPr>
            <w:tcW w:w="4097" w:type="dxa"/>
          </w:tcPr>
          <w:p w14:paraId="7948B4B1" w14:textId="556D8D56" w:rsidR="00A17017" w:rsidRPr="003728D4" w:rsidRDefault="00A17017" w:rsidP="00A17017">
            <w:pPr>
              <w:rPr>
                <w:szCs w:val="20"/>
              </w:rPr>
            </w:pPr>
            <w:r w:rsidRPr="003728D4">
              <w:rPr>
                <w:szCs w:val="20"/>
              </w:rPr>
              <w:t>What engagement has there been with patients/members of the public in preparing this policy</w:t>
            </w:r>
            <w:r>
              <w:rPr>
                <w:szCs w:val="20"/>
              </w:rPr>
              <w:t>?</w:t>
            </w:r>
          </w:p>
        </w:tc>
        <w:tc>
          <w:tcPr>
            <w:tcW w:w="1443" w:type="dxa"/>
          </w:tcPr>
          <w:p w14:paraId="7548D957" w14:textId="2E1723BD" w:rsidR="00A17017" w:rsidRPr="00EE6E1E" w:rsidRDefault="00EE6E1E" w:rsidP="00A17017">
            <w:pPr>
              <w:jc w:val="center"/>
              <w:rPr>
                <w:szCs w:val="20"/>
              </w:rPr>
            </w:pPr>
            <w:r w:rsidRPr="00EE6E1E">
              <w:rPr>
                <w:szCs w:val="20"/>
              </w:rPr>
              <w:t>N/A</w:t>
            </w:r>
          </w:p>
        </w:tc>
        <w:tc>
          <w:tcPr>
            <w:tcW w:w="4236" w:type="dxa"/>
          </w:tcPr>
          <w:p w14:paraId="06C6E64E" w14:textId="77777777" w:rsidR="00A17017" w:rsidRPr="00EE6E1E" w:rsidRDefault="00A17017" w:rsidP="00A17017">
            <w:pPr>
              <w:jc w:val="center"/>
              <w:rPr>
                <w:szCs w:val="20"/>
              </w:rPr>
            </w:pPr>
          </w:p>
        </w:tc>
      </w:tr>
      <w:tr w:rsidR="00A17017" w:rsidRPr="003728D4" w14:paraId="6277670D" w14:textId="77777777" w:rsidTr="00A17017">
        <w:tc>
          <w:tcPr>
            <w:tcW w:w="4097" w:type="dxa"/>
          </w:tcPr>
          <w:p w14:paraId="7C534CE2" w14:textId="19B94D4B" w:rsidR="00A17017" w:rsidRPr="003728D4" w:rsidRDefault="00A17017" w:rsidP="00A17017">
            <w:pPr>
              <w:rPr>
                <w:szCs w:val="20"/>
              </w:rPr>
            </w:pPr>
            <w:r w:rsidRPr="003728D4">
              <w:rPr>
                <w:szCs w:val="20"/>
              </w:rPr>
              <w:t>Are there linked policies and procedures</w:t>
            </w:r>
            <w:r>
              <w:rPr>
                <w:szCs w:val="20"/>
              </w:rPr>
              <w:t>?</w:t>
            </w:r>
          </w:p>
        </w:tc>
        <w:tc>
          <w:tcPr>
            <w:tcW w:w="1443" w:type="dxa"/>
          </w:tcPr>
          <w:p w14:paraId="22B981CC" w14:textId="393E4D05" w:rsidR="00A17017" w:rsidRPr="00EE6E1E" w:rsidRDefault="00EE6E1E" w:rsidP="00A17017">
            <w:pPr>
              <w:jc w:val="center"/>
              <w:rPr>
                <w:szCs w:val="20"/>
              </w:rPr>
            </w:pPr>
            <w:r w:rsidRPr="00EE6E1E">
              <w:rPr>
                <w:szCs w:val="20"/>
              </w:rPr>
              <w:t>Yes</w:t>
            </w:r>
          </w:p>
        </w:tc>
        <w:tc>
          <w:tcPr>
            <w:tcW w:w="4236" w:type="dxa"/>
          </w:tcPr>
          <w:p w14:paraId="41B54726" w14:textId="259C53BF" w:rsidR="00A17017" w:rsidRPr="00EE6E1E" w:rsidRDefault="00EE6E1E" w:rsidP="00A17017">
            <w:pPr>
              <w:jc w:val="center"/>
              <w:rPr>
                <w:szCs w:val="20"/>
              </w:rPr>
            </w:pPr>
            <w:r w:rsidRPr="00EE6E1E">
              <w:rPr>
                <w:szCs w:val="20"/>
              </w:rPr>
              <w:t>This framework is the overarching document that governs the suite of IT/IG related documents which support the ICB’s responsibilities</w:t>
            </w:r>
          </w:p>
        </w:tc>
      </w:tr>
      <w:tr w:rsidR="00A17017" w:rsidRPr="003728D4" w14:paraId="07F63792" w14:textId="77777777" w:rsidTr="00A17017">
        <w:tc>
          <w:tcPr>
            <w:tcW w:w="4097" w:type="dxa"/>
          </w:tcPr>
          <w:p w14:paraId="621C7437" w14:textId="0BBE8182" w:rsidR="00A17017" w:rsidRPr="003728D4" w:rsidRDefault="00A17017" w:rsidP="00A17017">
            <w:pPr>
              <w:rPr>
                <w:szCs w:val="20"/>
              </w:rPr>
            </w:pPr>
            <w:r>
              <w:rPr>
                <w:szCs w:val="20"/>
              </w:rPr>
              <w:t>Has the lead Executive Director approved the policy?</w:t>
            </w:r>
          </w:p>
        </w:tc>
        <w:tc>
          <w:tcPr>
            <w:tcW w:w="1443" w:type="dxa"/>
          </w:tcPr>
          <w:p w14:paraId="78A339F1" w14:textId="050C5B2E" w:rsidR="00A17017" w:rsidRPr="00EE6E1E" w:rsidRDefault="00EE6E1E" w:rsidP="00A17017">
            <w:pPr>
              <w:jc w:val="center"/>
              <w:rPr>
                <w:szCs w:val="20"/>
              </w:rPr>
            </w:pPr>
            <w:r w:rsidRPr="00EE6E1E">
              <w:rPr>
                <w:szCs w:val="20"/>
              </w:rPr>
              <w:t>Yes</w:t>
            </w:r>
          </w:p>
        </w:tc>
        <w:tc>
          <w:tcPr>
            <w:tcW w:w="4236" w:type="dxa"/>
          </w:tcPr>
          <w:p w14:paraId="28F2DC32" w14:textId="0C0B3433" w:rsidR="00A17017" w:rsidRPr="00EE6E1E" w:rsidRDefault="00EE6E1E" w:rsidP="00A17017">
            <w:pPr>
              <w:jc w:val="center"/>
              <w:rPr>
                <w:szCs w:val="20"/>
              </w:rPr>
            </w:pPr>
            <w:r w:rsidRPr="00EE6E1E">
              <w:rPr>
                <w:szCs w:val="20"/>
              </w:rPr>
              <w:t>Senior Information Risk Owner (SIRO)</w:t>
            </w:r>
          </w:p>
        </w:tc>
      </w:tr>
      <w:tr w:rsidR="00A17017" w:rsidRPr="003728D4" w14:paraId="33DAD6E9" w14:textId="77777777" w:rsidTr="00A17017">
        <w:tc>
          <w:tcPr>
            <w:tcW w:w="4097" w:type="dxa"/>
          </w:tcPr>
          <w:p w14:paraId="1DA84377" w14:textId="6D7386AD" w:rsidR="00A17017" w:rsidRDefault="00A17017" w:rsidP="00A17017">
            <w:pPr>
              <w:rPr>
                <w:szCs w:val="20"/>
              </w:rPr>
            </w:pPr>
            <w:r>
              <w:rPr>
                <w:szCs w:val="20"/>
              </w:rPr>
              <w:t>Which Committees have assured the policy?</w:t>
            </w:r>
          </w:p>
        </w:tc>
        <w:tc>
          <w:tcPr>
            <w:tcW w:w="1443" w:type="dxa"/>
          </w:tcPr>
          <w:p w14:paraId="5B30E2B4" w14:textId="3D936FEB" w:rsidR="00A17017" w:rsidRPr="00EE6E1E" w:rsidRDefault="00EE6E1E" w:rsidP="00A17017">
            <w:pPr>
              <w:jc w:val="center"/>
              <w:rPr>
                <w:szCs w:val="20"/>
              </w:rPr>
            </w:pPr>
            <w:r w:rsidRPr="00EE6E1E">
              <w:rPr>
                <w:szCs w:val="20"/>
              </w:rPr>
              <w:t>N/A</w:t>
            </w:r>
          </w:p>
        </w:tc>
        <w:tc>
          <w:tcPr>
            <w:tcW w:w="4236" w:type="dxa"/>
          </w:tcPr>
          <w:p w14:paraId="7D760641" w14:textId="61F81183" w:rsidR="00A17017" w:rsidRPr="00EE6E1E" w:rsidRDefault="00EE6E1E" w:rsidP="00A17017">
            <w:pPr>
              <w:jc w:val="center"/>
              <w:rPr>
                <w:szCs w:val="20"/>
              </w:rPr>
            </w:pPr>
            <w:r w:rsidRPr="00EE6E1E">
              <w:rPr>
                <w:szCs w:val="20"/>
              </w:rPr>
              <w:t>Information Governance Group approve the framework</w:t>
            </w:r>
          </w:p>
        </w:tc>
      </w:tr>
      <w:tr w:rsidR="00A17017" w:rsidRPr="003728D4" w14:paraId="1686DF3C" w14:textId="77777777" w:rsidTr="00A17017">
        <w:tc>
          <w:tcPr>
            <w:tcW w:w="4097" w:type="dxa"/>
          </w:tcPr>
          <w:p w14:paraId="725DAA86" w14:textId="4F2EBBEA" w:rsidR="00A17017" w:rsidRDefault="00A17017" w:rsidP="00A17017">
            <w:pPr>
              <w:rPr>
                <w:szCs w:val="20"/>
              </w:rPr>
            </w:pPr>
            <w:r>
              <w:rPr>
                <w:szCs w:val="20"/>
              </w:rPr>
              <w:t>Has an implementation plan been provided?</w:t>
            </w:r>
          </w:p>
        </w:tc>
        <w:tc>
          <w:tcPr>
            <w:tcW w:w="1443" w:type="dxa"/>
          </w:tcPr>
          <w:p w14:paraId="0E63D4B6" w14:textId="663561A0" w:rsidR="00A17017" w:rsidRPr="00EE6E1E" w:rsidRDefault="00EE6E1E" w:rsidP="00A17017">
            <w:pPr>
              <w:jc w:val="center"/>
              <w:rPr>
                <w:szCs w:val="20"/>
              </w:rPr>
            </w:pPr>
            <w:r w:rsidRPr="00EE6E1E">
              <w:rPr>
                <w:szCs w:val="20"/>
              </w:rPr>
              <w:t>Yes</w:t>
            </w:r>
          </w:p>
        </w:tc>
        <w:tc>
          <w:tcPr>
            <w:tcW w:w="4236" w:type="dxa"/>
          </w:tcPr>
          <w:p w14:paraId="26E411AD" w14:textId="0BDD79A9" w:rsidR="00A17017" w:rsidRPr="00EE6E1E" w:rsidRDefault="00EE6E1E" w:rsidP="00A17017">
            <w:pPr>
              <w:jc w:val="center"/>
              <w:rPr>
                <w:szCs w:val="20"/>
              </w:rPr>
            </w:pPr>
            <w:r w:rsidRPr="00EE6E1E">
              <w:rPr>
                <w:szCs w:val="20"/>
              </w:rPr>
              <w:t>See Implementation Plan</w:t>
            </w:r>
          </w:p>
        </w:tc>
      </w:tr>
      <w:tr w:rsidR="00A17017" w:rsidRPr="003728D4" w14:paraId="03A5774F" w14:textId="77777777" w:rsidTr="00A17017">
        <w:tc>
          <w:tcPr>
            <w:tcW w:w="4097" w:type="dxa"/>
          </w:tcPr>
          <w:p w14:paraId="6FD3757B" w14:textId="7DDEC3D3" w:rsidR="00A17017" w:rsidRDefault="00A17017" w:rsidP="00A17017">
            <w:pPr>
              <w:rPr>
                <w:szCs w:val="20"/>
              </w:rPr>
            </w:pPr>
            <w:r w:rsidRPr="003728D4">
              <w:rPr>
                <w:szCs w:val="20"/>
              </w:rPr>
              <w:t>How will the policy be shared with</w:t>
            </w:r>
          </w:p>
        </w:tc>
        <w:tc>
          <w:tcPr>
            <w:tcW w:w="1443" w:type="dxa"/>
          </w:tcPr>
          <w:p w14:paraId="1E4EEA45" w14:textId="1B3BD6D6" w:rsidR="00A17017" w:rsidRPr="00EE6E1E" w:rsidRDefault="00EE6E1E" w:rsidP="00A17017">
            <w:pPr>
              <w:jc w:val="center"/>
              <w:rPr>
                <w:szCs w:val="20"/>
              </w:rPr>
            </w:pPr>
            <w:r w:rsidRPr="00EE6E1E">
              <w:rPr>
                <w:szCs w:val="20"/>
              </w:rPr>
              <w:t>Yes</w:t>
            </w:r>
          </w:p>
        </w:tc>
        <w:tc>
          <w:tcPr>
            <w:tcW w:w="4236" w:type="dxa"/>
          </w:tcPr>
          <w:p w14:paraId="547E12D6" w14:textId="39893B6D" w:rsidR="00A17017" w:rsidRPr="00EE6E1E" w:rsidRDefault="00EE6E1E" w:rsidP="00A17017">
            <w:pPr>
              <w:jc w:val="center"/>
              <w:rPr>
                <w:szCs w:val="20"/>
              </w:rPr>
            </w:pPr>
            <w:r w:rsidRPr="00EE6E1E">
              <w:rPr>
                <w:szCs w:val="20"/>
              </w:rPr>
              <w:t>See Implementation Plan</w:t>
            </w:r>
          </w:p>
        </w:tc>
      </w:tr>
      <w:tr w:rsidR="00A17017" w:rsidRPr="003728D4" w14:paraId="70751FF1" w14:textId="77777777" w:rsidTr="00A17017">
        <w:tc>
          <w:tcPr>
            <w:tcW w:w="4097" w:type="dxa"/>
          </w:tcPr>
          <w:p w14:paraId="01593ECC" w14:textId="58576193" w:rsidR="00A17017" w:rsidRPr="003728D4" w:rsidRDefault="00A17017" w:rsidP="00A17017">
            <w:pPr>
              <w:rPr>
                <w:szCs w:val="20"/>
              </w:rPr>
            </w:pPr>
            <w:r w:rsidRPr="003728D4">
              <w:rPr>
                <w:szCs w:val="20"/>
              </w:rPr>
              <w:t>Will an audit trail demonstrating receipt of policy by staff be required; how will this be done</w:t>
            </w:r>
            <w:r>
              <w:rPr>
                <w:szCs w:val="20"/>
              </w:rPr>
              <w:t>?</w:t>
            </w:r>
          </w:p>
        </w:tc>
        <w:tc>
          <w:tcPr>
            <w:tcW w:w="1443" w:type="dxa"/>
          </w:tcPr>
          <w:p w14:paraId="57CAD759" w14:textId="50009BA9" w:rsidR="00A17017" w:rsidRPr="00EE6E1E" w:rsidRDefault="00EE6E1E" w:rsidP="00A17017">
            <w:pPr>
              <w:jc w:val="center"/>
              <w:rPr>
                <w:szCs w:val="20"/>
              </w:rPr>
            </w:pPr>
            <w:r w:rsidRPr="00EE6E1E">
              <w:rPr>
                <w:szCs w:val="20"/>
              </w:rPr>
              <w:t>No</w:t>
            </w:r>
          </w:p>
        </w:tc>
        <w:tc>
          <w:tcPr>
            <w:tcW w:w="4236" w:type="dxa"/>
          </w:tcPr>
          <w:p w14:paraId="1BB456DD" w14:textId="77777777" w:rsidR="00A17017" w:rsidRPr="00EE6E1E" w:rsidRDefault="00A17017" w:rsidP="00A17017">
            <w:pPr>
              <w:jc w:val="center"/>
              <w:rPr>
                <w:szCs w:val="20"/>
              </w:rPr>
            </w:pPr>
          </w:p>
        </w:tc>
      </w:tr>
      <w:tr w:rsidR="00A17017" w:rsidRPr="003728D4" w14:paraId="094C9AB4" w14:textId="77777777" w:rsidTr="00A17017">
        <w:tc>
          <w:tcPr>
            <w:tcW w:w="4097" w:type="dxa"/>
          </w:tcPr>
          <w:p w14:paraId="47B9D4BB" w14:textId="2ABC7608" w:rsidR="00A17017" w:rsidRPr="003728D4" w:rsidRDefault="00A17017" w:rsidP="00A17017">
            <w:pPr>
              <w:rPr>
                <w:szCs w:val="20"/>
              </w:rPr>
            </w:pPr>
            <w:bookmarkStart w:id="6" w:name="_Hlk176861898"/>
            <w:r>
              <w:rPr>
                <w:szCs w:val="20"/>
              </w:rPr>
              <w:t xml:space="preserve">Has a DPIA been considered </w:t>
            </w:r>
            <w:proofErr w:type="gramStart"/>
            <w:r>
              <w:rPr>
                <w:szCs w:val="20"/>
              </w:rPr>
              <w:t>in regards to</w:t>
            </w:r>
            <w:proofErr w:type="gramEnd"/>
            <w:r>
              <w:rPr>
                <w:szCs w:val="20"/>
              </w:rPr>
              <w:t xml:space="preserve"> this policy? </w:t>
            </w:r>
          </w:p>
        </w:tc>
        <w:tc>
          <w:tcPr>
            <w:tcW w:w="1443" w:type="dxa"/>
          </w:tcPr>
          <w:p w14:paraId="3F22D264" w14:textId="0A4A9D08" w:rsidR="00A17017" w:rsidRPr="00EE6E1E" w:rsidRDefault="00EE6E1E" w:rsidP="00A17017">
            <w:pPr>
              <w:jc w:val="center"/>
              <w:rPr>
                <w:szCs w:val="20"/>
              </w:rPr>
            </w:pPr>
            <w:r w:rsidRPr="00EE6E1E">
              <w:rPr>
                <w:szCs w:val="20"/>
              </w:rPr>
              <w:t>N/A</w:t>
            </w:r>
          </w:p>
        </w:tc>
        <w:tc>
          <w:tcPr>
            <w:tcW w:w="4236" w:type="dxa"/>
          </w:tcPr>
          <w:p w14:paraId="35EE129B" w14:textId="77777777" w:rsidR="00A17017" w:rsidRPr="00EE6E1E" w:rsidRDefault="00A17017" w:rsidP="00A17017">
            <w:pPr>
              <w:jc w:val="center"/>
              <w:rPr>
                <w:szCs w:val="20"/>
              </w:rPr>
            </w:pPr>
          </w:p>
        </w:tc>
      </w:tr>
      <w:tr w:rsidR="00A17017" w:rsidRPr="003728D4" w14:paraId="212EFFA0" w14:textId="77777777" w:rsidTr="00A17017">
        <w:tc>
          <w:tcPr>
            <w:tcW w:w="4097" w:type="dxa"/>
          </w:tcPr>
          <w:p w14:paraId="5EE2407D" w14:textId="23115F70" w:rsidR="00A17017" w:rsidRDefault="00A17017" w:rsidP="00A17017">
            <w:pPr>
              <w:rPr>
                <w:szCs w:val="20"/>
              </w:rPr>
            </w:pPr>
            <w:r w:rsidRPr="00A81A83">
              <w:lastRenderedPageBreak/>
              <w:t>Have Data Protection implications have been considered?</w:t>
            </w:r>
          </w:p>
        </w:tc>
        <w:tc>
          <w:tcPr>
            <w:tcW w:w="1443" w:type="dxa"/>
          </w:tcPr>
          <w:p w14:paraId="28D0D2DA" w14:textId="485AA327" w:rsidR="00A17017" w:rsidRPr="00EE6E1E" w:rsidRDefault="00EE6E1E" w:rsidP="00A17017">
            <w:pPr>
              <w:jc w:val="center"/>
              <w:rPr>
                <w:szCs w:val="20"/>
              </w:rPr>
            </w:pPr>
            <w:r w:rsidRPr="00EE6E1E">
              <w:rPr>
                <w:szCs w:val="20"/>
              </w:rPr>
              <w:t>Yes</w:t>
            </w:r>
          </w:p>
        </w:tc>
        <w:tc>
          <w:tcPr>
            <w:tcW w:w="4236" w:type="dxa"/>
          </w:tcPr>
          <w:p w14:paraId="6E35CE0F" w14:textId="15F87A23" w:rsidR="00A17017" w:rsidRPr="00EE6E1E" w:rsidRDefault="00EE6E1E" w:rsidP="00A17017">
            <w:pPr>
              <w:jc w:val="center"/>
              <w:rPr>
                <w:szCs w:val="20"/>
              </w:rPr>
            </w:pPr>
            <w:r w:rsidRPr="00EE6E1E">
              <w:rPr>
                <w:szCs w:val="20"/>
              </w:rPr>
              <w:t>This document underpins compliance</w:t>
            </w:r>
          </w:p>
        </w:tc>
      </w:tr>
      <w:bookmarkEnd w:id="6"/>
    </w:tbl>
    <w:p w14:paraId="44305C6D" w14:textId="77777777" w:rsidR="003A3E1F" w:rsidRDefault="003A3E1F"/>
    <w:tbl>
      <w:tblPr>
        <w:tblStyle w:val="TableGrid"/>
        <w:tblW w:w="0" w:type="auto"/>
        <w:tblLook w:val="04A0" w:firstRow="1" w:lastRow="0" w:firstColumn="1" w:lastColumn="0" w:noHBand="0" w:noVBand="1"/>
      </w:tblPr>
      <w:tblGrid>
        <w:gridCol w:w="1271"/>
        <w:gridCol w:w="1701"/>
        <w:gridCol w:w="6767"/>
      </w:tblGrid>
      <w:tr w:rsidR="0077145A" w14:paraId="087A0865" w14:textId="77777777" w:rsidTr="007D46ED">
        <w:tc>
          <w:tcPr>
            <w:tcW w:w="1271" w:type="dxa"/>
            <w:shd w:val="clear" w:color="auto" w:fill="1C1F63" w:themeFill="text1"/>
          </w:tcPr>
          <w:p w14:paraId="54DE91C3" w14:textId="3D5DB5C8" w:rsidR="0077145A" w:rsidRPr="00F63300" w:rsidRDefault="00F63300">
            <w:pPr>
              <w:rPr>
                <w:rStyle w:val="Emphasis"/>
              </w:rPr>
            </w:pPr>
            <w:r>
              <w:rPr>
                <w:rStyle w:val="Emphasis"/>
              </w:rPr>
              <w:t>Version</w:t>
            </w:r>
          </w:p>
        </w:tc>
        <w:tc>
          <w:tcPr>
            <w:tcW w:w="1701" w:type="dxa"/>
            <w:shd w:val="clear" w:color="auto" w:fill="1C1F63" w:themeFill="text1"/>
          </w:tcPr>
          <w:p w14:paraId="798ABD0E" w14:textId="6F4F2203" w:rsidR="0077145A" w:rsidRPr="00F63300" w:rsidRDefault="00F63300">
            <w:pPr>
              <w:rPr>
                <w:rStyle w:val="Emphasis"/>
              </w:rPr>
            </w:pPr>
            <w:r>
              <w:rPr>
                <w:rStyle w:val="Emphasis"/>
              </w:rPr>
              <w:t>Date</w:t>
            </w:r>
          </w:p>
        </w:tc>
        <w:tc>
          <w:tcPr>
            <w:tcW w:w="6767" w:type="dxa"/>
            <w:shd w:val="clear" w:color="auto" w:fill="1C1F63" w:themeFill="text1"/>
          </w:tcPr>
          <w:p w14:paraId="5A83AC68" w14:textId="62AF7853" w:rsidR="0077145A" w:rsidRPr="00F63300" w:rsidRDefault="00F63300">
            <w:pPr>
              <w:rPr>
                <w:rStyle w:val="Emphasis"/>
              </w:rPr>
            </w:pPr>
            <w:r>
              <w:rPr>
                <w:rStyle w:val="Emphasis"/>
              </w:rPr>
              <w:t>Consultation</w:t>
            </w:r>
          </w:p>
        </w:tc>
      </w:tr>
      <w:tr w:rsidR="00EE6E1E" w14:paraId="60D37B0A" w14:textId="77777777" w:rsidTr="007D46ED">
        <w:tc>
          <w:tcPr>
            <w:tcW w:w="1271" w:type="dxa"/>
          </w:tcPr>
          <w:p w14:paraId="08B4762A" w14:textId="5F0C8438" w:rsidR="00EE6E1E" w:rsidRDefault="00EE6E1E" w:rsidP="00EE6E1E">
            <w:r>
              <w:rPr>
                <w:rFonts w:cs="Arial"/>
              </w:rPr>
              <w:t>0.1 (1.0)</w:t>
            </w:r>
          </w:p>
        </w:tc>
        <w:tc>
          <w:tcPr>
            <w:tcW w:w="1701" w:type="dxa"/>
          </w:tcPr>
          <w:p w14:paraId="0E25EF8B" w14:textId="7E3941C4" w:rsidR="00EE6E1E" w:rsidRDefault="00EE6E1E" w:rsidP="00EE6E1E">
            <w:r>
              <w:rPr>
                <w:rFonts w:cs="Arial"/>
              </w:rPr>
              <w:t>14-09-2018</w:t>
            </w:r>
          </w:p>
        </w:tc>
        <w:tc>
          <w:tcPr>
            <w:tcW w:w="6767" w:type="dxa"/>
          </w:tcPr>
          <w:p w14:paraId="60636982" w14:textId="759CEBD8" w:rsidR="00EE6E1E" w:rsidRDefault="00EE6E1E" w:rsidP="00EE6E1E">
            <w:r>
              <w:rPr>
                <w:rFonts w:eastAsia="Times New Roman" w:cs="Arial"/>
                <w:szCs w:val="24"/>
              </w:rPr>
              <w:t>New policy to align to GDPR</w:t>
            </w:r>
          </w:p>
        </w:tc>
      </w:tr>
      <w:tr w:rsidR="00EE6E1E" w14:paraId="7D92333C" w14:textId="77777777" w:rsidTr="007D46ED">
        <w:tc>
          <w:tcPr>
            <w:tcW w:w="1271" w:type="dxa"/>
          </w:tcPr>
          <w:p w14:paraId="429F8133" w14:textId="2010B030" w:rsidR="00EE6E1E" w:rsidRDefault="00EE6E1E" w:rsidP="00EE6E1E">
            <w:r>
              <w:rPr>
                <w:rFonts w:cs="Arial"/>
              </w:rPr>
              <w:t>1.1</w:t>
            </w:r>
          </w:p>
        </w:tc>
        <w:tc>
          <w:tcPr>
            <w:tcW w:w="1701" w:type="dxa"/>
          </w:tcPr>
          <w:p w14:paraId="7C2C5D16" w14:textId="3B43D883" w:rsidR="00EE6E1E" w:rsidRDefault="00EE6E1E" w:rsidP="00EE6E1E">
            <w:r>
              <w:rPr>
                <w:rFonts w:cs="Arial"/>
              </w:rPr>
              <w:t>September 2020</w:t>
            </w:r>
          </w:p>
        </w:tc>
        <w:tc>
          <w:tcPr>
            <w:tcW w:w="6767" w:type="dxa"/>
          </w:tcPr>
          <w:p w14:paraId="4CFC13D8" w14:textId="34D5E079" w:rsidR="00EE6E1E" w:rsidRDefault="00EE6E1E" w:rsidP="00EE6E1E">
            <w:r>
              <w:rPr>
                <w:rFonts w:eastAsia="Times New Roman" w:cs="Arial"/>
                <w:szCs w:val="24"/>
              </w:rPr>
              <w:t>Review</w:t>
            </w:r>
          </w:p>
        </w:tc>
      </w:tr>
      <w:tr w:rsidR="00EE6E1E" w14:paraId="692ABCDD" w14:textId="77777777" w:rsidTr="007D46ED">
        <w:tc>
          <w:tcPr>
            <w:tcW w:w="1271" w:type="dxa"/>
          </w:tcPr>
          <w:p w14:paraId="476F4040" w14:textId="0C11555B" w:rsidR="00EE6E1E" w:rsidRDefault="00EE6E1E" w:rsidP="00EE6E1E">
            <w:r>
              <w:rPr>
                <w:rFonts w:cs="Arial"/>
              </w:rPr>
              <w:t>1.2</w:t>
            </w:r>
          </w:p>
        </w:tc>
        <w:tc>
          <w:tcPr>
            <w:tcW w:w="1701" w:type="dxa"/>
          </w:tcPr>
          <w:p w14:paraId="1200A4CE" w14:textId="10043DE8" w:rsidR="00EE6E1E" w:rsidRDefault="00EE6E1E" w:rsidP="00EE6E1E">
            <w:r>
              <w:rPr>
                <w:rFonts w:cs="Arial"/>
              </w:rPr>
              <w:t>December 2022</w:t>
            </w:r>
          </w:p>
        </w:tc>
        <w:tc>
          <w:tcPr>
            <w:tcW w:w="6767" w:type="dxa"/>
          </w:tcPr>
          <w:p w14:paraId="3DBF263D" w14:textId="0DC7A974" w:rsidR="00EE6E1E" w:rsidRDefault="00EE6E1E" w:rsidP="00EE6E1E">
            <w:r>
              <w:rPr>
                <w:rFonts w:eastAsia="Times New Roman" w:cs="Arial"/>
                <w:szCs w:val="24"/>
              </w:rPr>
              <w:t>Review</w:t>
            </w:r>
          </w:p>
        </w:tc>
      </w:tr>
      <w:tr w:rsidR="00EE6E1E" w14:paraId="69B498B7" w14:textId="77777777" w:rsidTr="007D46ED">
        <w:tc>
          <w:tcPr>
            <w:tcW w:w="1271" w:type="dxa"/>
          </w:tcPr>
          <w:p w14:paraId="1461550C" w14:textId="3FBC7526" w:rsidR="00EE6E1E" w:rsidRDefault="00EE6E1E" w:rsidP="00EE6E1E">
            <w:r>
              <w:rPr>
                <w:rFonts w:cs="Arial"/>
              </w:rPr>
              <w:t>1.3</w:t>
            </w:r>
          </w:p>
        </w:tc>
        <w:tc>
          <w:tcPr>
            <w:tcW w:w="1701" w:type="dxa"/>
          </w:tcPr>
          <w:p w14:paraId="750876F0" w14:textId="3BE6FA83" w:rsidR="00EE6E1E" w:rsidRDefault="00EE6E1E" w:rsidP="00EE6E1E">
            <w:r>
              <w:rPr>
                <w:rFonts w:cs="Arial"/>
              </w:rPr>
              <w:t>March 2023</w:t>
            </w:r>
          </w:p>
        </w:tc>
        <w:tc>
          <w:tcPr>
            <w:tcW w:w="6767" w:type="dxa"/>
          </w:tcPr>
          <w:p w14:paraId="60C7BD43" w14:textId="272546E9" w:rsidR="00EE6E1E" w:rsidRDefault="00EE6E1E" w:rsidP="00EE6E1E">
            <w:r>
              <w:rPr>
                <w:rFonts w:eastAsia="Times New Roman" w:cs="Arial"/>
                <w:szCs w:val="24"/>
              </w:rPr>
              <w:t>Review. Update Responsible Executive and amend from CCG to an ICB Policy</w:t>
            </w:r>
          </w:p>
        </w:tc>
      </w:tr>
      <w:tr w:rsidR="00EE6E1E" w14:paraId="4CE0E504" w14:textId="77777777" w:rsidTr="007D46ED">
        <w:tc>
          <w:tcPr>
            <w:tcW w:w="1271" w:type="dxa"/>
          </w:tcPr>
          <w:p w14:paraId="3C8EA965" w14:textId="5C1E31E2" w:rsidR="00EE6E1E" w:rsidRDefault="00EE6E1E" w:rsidP="00EE6E1E">
            <w:r>
              <w:rPr>
                <w:rFonts w:cs="Arial"/>
              </w:rPr>
              <w:t>1.4</w:t>
            </w:r>
          </w:p>
        </w:tc>
        <w:tc>
          <w:tcPr>
            <w:tcW w:w="1701" w:type="dxa"/>
          </w:tcPr>
          <w:p w14:paraId="4805643B" w14:textId="0D6C91C2" w:rsidR="00EE6E1E" w:rsidRDefault="00EE6E1E" w:rsidP="00EE6E1E">
            <w:r>
              <w:rPr>
                <w:rFonts w:cs="Arial"/>
              </w:rPr>
              <w:t>February 2024</w:t>
            </w:r>
          </w:p>
        </w:tc>
        <w:tc>
          <w:tcPr>
            <w:tcW w:w="6767" w:type="dxa"/>
          </w:tcPr>
          <w:p w14:paraId="11E3026E" w14:textId="19206D1C" w:rsidR="00EE6E1E" w:rsidRDefault="00EE6E1E" w:rsidP="00EE6E1E">
            <w:r>
              <w:rPr>
                <w:rFonts w:eastAsia="Times New Roman" w:cs="Arial"/>
                <w:szCs w:val="24"/>
              </w:rPr>
              <w:t>Review.  Update minor cosmetic changes</w:t>
            </w:r>
          </w:p>
        </w:tc>
      </w:tr>
      <w:tr w:rsidR="00EE6E1E" w14:paraId="22E4D7E7" w14:textId="77777777" w:rsidTr="007D46ED">
        <w:tc>
          <w:tcPr>
            <w:tcW w:w="1271" w:type="dxa"/>
          </w:tcPr>
          <w:p w14:paraId="6590B544" w14:textId="403B7A42" w:rsidR="00EE6E1E" w:rsidRDefault="00EE6E1E" w:rsidP="00EE6E1E">
            <w:pPr>
              <w:rPr>
                <w:rFonts w:cs="Arial"/>
              </w:rPr>
            </w:pPr>
            <w:r>
              <w:rPr>
                <w:rFonts w:cs="Arial"/>
              </w:rPr>
              <w:t>1.5</w:t>
            </w:r>
          </w:p>
        </w:tc>
        <w:tc>
          <w:tcPr>
            <w:tcW w:w="1701" w:type="dxa"/>
          </w:tcPr>
          <w:p w14:paraId="7B86EDEE" w14:textId="44CE0F71" w:rsidR="00EE6E1E" w:rsidRDefault="00EE6E1E" w:rsidP="00EE6E1E">
            <w:pPr>
              <w:rPr>
                <w:rFonts w:cs="Arial"/>
              </w:rPr>
            </w:pPr>
            <w:r>
              <w:rPr>
                <w:rFonts w:cs="Arial"/>
              </w:rPr>
              <w:t>June 2024</w:t>
            </w:r>
          </w:p>
        </w:tc>
        <w:tc>
          <w:tcPr>
            <w:tcW w:w="6767" w:type="dxa"/>
          </w:tcPr>
          <w:p w14:paraId="0262C9D0" w14:textId="3033373F" w:rsidR="00EE6E1E" w:rsidRDefault="00EE6E1E" w:rsidP="00EE6E1E">
            <w:pPr>
              <w:rPr>
                <w:rFonts w:eastAsia="Times New Roman" w:cs="Arial"/>
                <w:szCs w:val="24"/>
              </w:rPr>
            </w:pPr>
            <w:r>
              <w:rPr>
                <w:rFonts w:eastAsia="Times New Roman" w:cs="Arial"/>
                <w:szCs w:val="24"/>
              </w:rPr>
              <w:t>Reference to strategy removed and EHIA completed</w:t>
            </w:r>
          </w:p>
        </w:tc>
      </w:tr>
    </w:tbl>
    <w:p w14:paraId="2955E110" w14:textId="3440F5BC" w:rsidR="00F63300" w:rsidRDefault="001E14C8" w:rsidP="001E14C8">
      <w:pPr>
        <w:pStyle w:val="Heading1"/>
      </w:pPr>
      <w:bookmarkStart w:id="7" w:name="_Toc81164253"/>
      <w:bookmarkStart w:id="8" w:name="_Toc176865362"/>
      <w:r>
        <w:t>Table of contents</w:t>
      </w:r>
      <w:bookmarkEnd w:id="8"/>
    </w:p>
    <w:sdt>
      <w:sdtPr>
        <w:rPr>
          <w:rFonts w:eastAsiaTheme="minorHAnsi"/>
          <w:b w:val="0"/>
          <w:color w:val="auto"/>
          <w:szCs w:val="22"/>
        </w:rPr>
        <w:id w:val="-1587525028"/>
        <w:docPartObj>
          <w:docPartGallery w:val="Table of Contents"/>
          <w:docPartUnique/>
        </w:docPartObj>
      </w:sdtPr>
      <w:sdtEndPr>
        <w:rPr>
          <w:bCs/>
          <w:noProof/>
        </w:rPr>
      </w:sdtEndPr>
      <w:sdtContent>
        <w:p w14:paraId="0F39050E" w14:textId="33F31EC9" w:rsidR="00B01FD1" w:rsidRDefault="00783A75">
          <w:pPr>
            <w:pStyle w:val="TOC1"/>
            <w:rPr>
              <w:rFonts w:asciiTheme="minorHAnsi" w:hAnsiTheme="minorHAnsi"/>
              <w:b w:val="0"/>
              <w:noProof/>
              <w:color w:val="auto"/>
              <w:kern w:val="2"/>
              <w:szCs w:val="24"/>
              <w:lang w:eastAsia="en-GB"/>
              <w14:ligatures w14:val="standardContextual"/>
            </w:rPr>
          </w:pPr>
          <w:r>
            <w:fldChar w:fldCharType="begin"/>
          </w:r>
          <w:r>
            <w:instrText xml:space="preserve"> TOC \o "1-3" \h \z \u </w:instrText>
          </w:r>
          <w:r>
            <w:fldChar w:fldCharType="separate"/>
          </w:r>
          <w:hyperlink w:anchor="_Toc176865360" w:history="1">
            <w:r w:rsidR="00B01FD1" w:rsidRPr="009512FA">
              <w:rPr>
                <w:rStyle w:val="Hyperlink"/>
                <w:noProof/>
              </w:rPr>
              <w:t>Information Governance Management Framework</w:t>
            </w:r>
            <w:r w:rsidR="00B01FD1">
              <w:rPr>
                <w:noProof/>
                <w:webHidden/>
              </w:rPr>
              <w:tab/>
            </w:r>
            <w:r w:rsidR="00B01FD1">
              <w:rPr>
                <w:noProof/>
                <w:webHidden/>
              </w:rPr>
              <w:fldChar w:fldCharType="begin"/>
            </w:r>
            <w:r w:rsidR="00B01FD1">
              <w:rPr>
                <w:noProof/>
                <w:webHidden/>
              </w:rPr>
              <w:instrText xml:space="preserve"> PAGEREF _Toc176865360 \h </w:instrText>
            </w:r>
            <w:r w:rsidR="00B01FD1">
              <w:rPr>
                <w:noProof/>
                <w:webHidden/>
              </w:rPr>
            </w:r>
            <w:r w:rsidR="00B01FD1">
              <w:rPr>
                <w:noProof/>
                <w:webHidden/>
              </w:rPr>
              <w:fldChar w:fldCharType="separate"/>
            </w:r>
            <w:r w:rsidR="00B01FD1">
              <w:rPr>
                <w:noProof/>
                <w:webHidden/>
              </w:rPr>
              <w:t>1</w:t>
            </w:r>
            <w:r w:rsidR="00B01FD1">
              <w:rPr>
                <w:noProof/>
                <w:webHidden/>
              </w:rPr>
              <w:fldChar w:fldCharType="end"/>
            </w:r>
          </w:hyperlink>
        </w:p>
        <w:p w14:paraId="1983989E" w14:textId="0FB1F720" w:rsidR="00B01FD1" w:rsidRDefault="00B01FD1">
          <w:pPr>
            <w:pStyle w:val="TOC2"/>
            <w:rPr>
              <w:rFonts w:asciiTheme="minorHAnsi" w:hAnsiTheme="minorHAnsi"/>
              <w:noProof/>
              <w:kern w:val="2"/>
              <w:szCs w:val="24"/>
              <w:lang w:val="en-GB" w:eastAsia="en-GB"/>
              <w14:ligatures w14:val="standardContextual"/>
            </w:rPr>
          </w:pPr>
          <w:hyperlink w:anchor="_Toc176865361" w:history="1">
            <w:r w:rsidRPr="009512FA">
              <w:rPr>
                <w:rStyle w:val="Hyperlink"/>
                <w:noProof/>
              </w:rPr>
              <w:t>Policy Review Checklist</w:t>
            </w:r>
            <w:r>
              <w:rPr>
                <w:noProof/>
                <w:webHidden/>
              </w:rPr>
              <w:tab/>
            </w:r>
            <w:r>
              <w:rPr>
                <w:noProof/>
                <w:webHidden/>
              </w:rPr>
              <w:fldChar w:fldCharType="begin"/>
            </w:r>
            <w:r>
              <w:rPr>
                <w:noProof/>
                <w:webHidden/>
              </w:rPr>
              <w:instrText xml:space="preserve"> PAGEREF _Toc176865361 \h </w:instrText>
            </w:r>
            <w:r>
              <w:rPr>
                <w:noProof/>
                <w:webHidden/>
              </w:rPr>
            </w:r>
            <w:r>
              <w:rPr>
                <w:noProof/>
                <w:webHidden/>
              </w:rPr>
              <w:fldChar w:fldCharType="separate"/>
            </w:r>
            <w:r>
              <w:rPr>
                <w:noProof/>
                <w:webHidden/>
              </w:rPr>
              <w:t>2</w:t>
            </w:r>
            <w:r>
              <w:rPr>
                <w:noProof/>
                <w:webHidden/>
              </w:rPr>
              <w:fldChar w:fldCharType="end"/>
            </w:r>
          </w:hyperlink>
        </w:p>
        <w:p w14:paraId="6882B785" w14:textId="2E3D921D" w:rsidR="00B01FD1" w:rsidRDefault="00B01FD1">
          <w:pPr>
            <w:pStyle w:val="TOC1"/>
            <w:rPr>
              <w:rFonts w:asciiTheme="minorHAnsi" w:hAnsiTheme="minorHAnsi"/>
              <w:b w:val="0"/>
              <w:noProof/>
              <w:color w:val="auto"/>
              <w:kern w:val="2"/>
              <w:szCs w:val="24"/>
              <w:lang w:eastAsia="en-GB"/>
              <w14:ligatures w14:val="standardContextual"/>
            </w:rPr>
          </w:pPr>
          <w:hyperlink w:anchor="_Toc176865362" w:history="1">
            <w:r w:rsidRPr="009512FA">
              <w:rPr>
                <w:rStyle w:val="Hyperlink"/>
                <w:noProof/>
              </w:rPr>
              <w:t>Table of contents</w:t>
            </w:r>
            <w:r>
              <w:rPr>
                <w:noProof/>
                <w:webHidden/>
              </w:rPr>
              <w:tab/>
            </w:r>
            <w:r>
              <w:rPr>
                <w:noProof/>
                <w:webHidden/>
              </w:rPr>
              <w:fldChar w:fldCharType="begin"/>
            </w:r>
            <w:r>
              <w:rPr>
                <w:noProof/>
                <w:webHidden/>
              </w:rPr>
              <w:instrText xml:space="preserve"> PAGEREF _Toc176865362 \h </w:instrText>
            </w:r>
            <w:r>
              <w:rPr>
                <w:noProof/>
                <w:webHidden/>
              </w:rPr>
            </w:r>
            <w:r>
              <w:rPr>
                <w:noProof/>
                <w:webHidden/>
              </w:rPr>
              <w:fldChar w:fldCharType="separate"/>
            </w:r>
            <w:r>
              <w:rPr>
                <w:noProof/>
                <w:webHidden/>
              </w:rPr>
              <w:t>3</w:t>
            </w:r>
            <w:r>
              <w:rPr>
                <w:noProof/>
                <w:webHidden/>
              </w:rPr>
              <w:fldChar w:fldCharType="end"/>
            </w:r>
          </w:hyperlink>
        </w:p>
        <w:p w14:paraId="79C74626" w14:textId="1B5CBAA8" w:rsidR="00B01FD1" w:rsidRDefault="00B01FD1">
          <w:pPr>
            <w:pStyle w:val="TOC1"/>
            <w:rPr>
              <w:rFonts w:asciiTheme="minorHAnsi" w:hAnsiTheme="minorHAnsi"/>
              <w:b w:val="0"/>
              <w:noProof/>
              <w:color w:val="auto"/>
              <w:kern w:val="2"/>
              <w:szCs w:val="24"/>
              <w:lang w:eastAsia="en-GB"/>
              <w14:ligatures w14:val="standardContextual"/>
            </w:rPr>
          </w:pPr>
          <w:hyperlink w:anchor="_Toc176865363" w:history="1">
            <w:r w:rsidRPr="009512FA">
              <w:rPr>
                <w:rStyle w:val="Hyperlink"/>
                <w:noProof/>
              </w:rPr>
              <w:t>Information Governance Management Framework</w:t>
            </w:r>
            <w:r>
              <w:rPr>
                <w:noProof/>
                <w:webHidden/>
              </w:rPr>
              <w:tab/>
            </w:r>
            <w:r>
              <w:rPr>
                <w:noProof/>
                <w:webHidden/>
              </w:rPr>
              <w:fldChar w:fldCharType="begin"/>
            </w:r>
            <w:r>
              <w:rPr>
                <w:noProof/>
                <w:webHidden/>
              </w:rPr>
              <w:instrText xml:space="preserve"> PAGEREF _Toc176865363 \h </w:instrText>
            </w:r>
            <w:r>
              <w:rPr>
                <w:noProof/>
                <w:webHidden/>
              </w:rPr>
            </w:r>
            <w:r>
              <w:rPr>
                <w:noProof/>
                <w:webHidden/>
              </w:rPr>
              <w:fldChar w:fldCharType="separate"/>
            </w:r>
            <w:r>
              <w:rPr>
                <w:noProof/>
                <w:webHidden/>
              </w:rPr>
              <w:t>5</w:t>
            </w:r>
            <w:r>
              <w:rPr>
                <w:noProof/>
                <w:webHidden/>
              </w:rPr>
              <w:fldChar w:fldCharType="end"/>
            </w:r>
          </w:hyperlink>
        </w:p>
        <w:p w14:paraId="6CDB2207" w14:textId="565F99F0" w:rsidR="00B01FD1" w:rsidRDefault="00B01FD1">
          <w:pPr>
            <w:pStyle w:val="TOC2"/>
            <w:rPr>
              <w:rFonts w:asciiTheme="minorHAnsi" w:hAnsiTheme="minorHAnsi"/>
              <w:noProof/>
              <w:kern w:val="2"/>
              <w:szCs w:val="24"/>
              <w:lang w:val="en-GB" w:eastAsia="en-GB"/>
              <w14:ligatures w14:val="standardContextual"/>
            </w:rPr>
          </w:pPr>
          <w:hyperlink w:anchor="_Toc176865364" w:history="1">
            <w:r w:rsidRPr="009512FA">
              <w:rPr>
                <w:rStyle w:val="Hyperlink"/>
                <w:noProof/>
              </w:rPr>
              <w:t>1</w:t>
            </w:r>
            <w:r>
              <w:rPr>
                <w:rFonts w:asciiTheme="minorHAnsi" w:hAnsiTheme="minorHAnsi"/>
                <w:noProof/>
                <w:kern w:val="2"/>
                <w:szCs w:val="24"/>
                <w:lang w:val="en-GB" w:eastAsia="en-GB"/>
                <w14:ligatures w14:val="standardContextual"/>
              </w:rPr>
              <w:tab/>
            </w:r>
            <w:r w:rsidRPr="009512FA">
              <w:rPr>
                <w:rStyle w:val="Hyperlink"/>
                <w:noProof/>
              </w:rPr>
              <w:t>Introduction</w:t>
            </w:r>
            <w:r>
              <w:rPr>
                <w:noProof/>
                <w:webHidden/>
              </w:rPr>
              <w:tab/>
            </w:r>
            <w:r>
              <w:rPr>
                <w:noProof/>
                <w:webHidden/>
              </w:rPr>
              <w:fldChar w:fldCharType="begin"/>
            </w:r>
            <w:r>
              <w:rPr>
                <w:noProof/>
                <w:webHidden/>
              </w:rPr>
              <w:instrText xml:space="preserve"> PAGEREF _Toc176865364 \h </w:instrText>
            </w:r>
            <w:r>
              <w:rPr>
                <w:noProof/>
                <w:webHidden/>
              </w:rPr>
            </w:r>
            <w:r>
              <w:rPr>
                <w:noProof/>
                <w:webHidden/>
              </w:rPr>
              <w:fldChar w:fldCharType="separate"/>
            </w:r>
            <w:r>
              <w:rPr>
                <w:noProof/>
                <w:webHidden/>
              </w:rPr>
              <w:t>5</w:t>
            </w:r>
            <w:r>
              <w:rPr>
                <w:noProof/>
                <w:webHidden/>
              </w:rPr>
              <w:fldChar w:fldCharType="end"/>
            </w:r>
          </w:hyperlink>
        </w:p>
        <w:p w14:paraId="2DB55B0F" w14:textId="6A80FD3F" w:rsidR="00B01FD1" w:rsidRDefault="00B01FD1">
          <w:pPr>
            <w:pStyle w:val="TOC3"/>
            <w:rPr>
              <w:rFonts w:asciiTheme="minorHAnsi" w:hAnsiTheme="minorHAnsi"/>
              <w:kern w:val="2"/>
              <w:szCs w:val="24"/>
              <w:lang w:val="en-GB" w:eastAsia="en-GB"/>
              <w14:ligatures w14:val="standardContextual"/>
            </w:rPr>
          </w:pPr>
          <w:hyperlink w:anchor="_Toc176865365" w:history="1">
            <w:r w:rsidRPr="009512FA">
              <w:rPr>
                <w:rStyle w:val="Hyperlink"/>
              </w:rPr>
              <w:t>1.1</w:t>
            </w:r>
            <w:r>
              <w:rPr>
                <w:rFonts w:asciiTheme="minorHAnsi" w:hAnsiTheme="minorHAnsi"/>
                <w:kern w:val="2"/>
                <w:szCs w:val="24"/>
                <w:lang w:val="en-GB" w:eastAsia="en-GB"/>
                <w14:ligatures w14:val="standardContextual"/>
              </w:rPr>
              <w:tab/>
            </w:r>
            <w:r w:rsidRPr="009512FA">
              <w:rPr>
                <w:rStyle w:val="Hyperlink"/>
              </w:rPr>
              <w:t>BNSSG ICB Values</w:t>
            </w:r>
            <w:r>
              <w:rPr>
                <w:webHidden/>
              </w:rPr>
              <w:tab/>
            </w:r>
            <w:r>
              <w:rPr>
                <w:webHidden/>
              </w:rPr>
              <w:fldChar w:fldCharType="begin"/>
            </w:r>
            <w:r>
              <w:rPr>
                <w:webHidden/>
              </w:rPr>
              <w:instrText xml:space="preserve"> PAGEREF _Toc176865365 \h </w:instrText>
            </w:r>
            <w:r>
              <w:rPr>
                <w:webHidden/>
              </w:rPr>
            </w:r>
            <w:r>
              <w:rPr>
                <w:webHidden/>
              </w:rPr>
              <w:fldChar w:fldCharType="separate"/>
            </w:r>
            <w:r>
              <w:rPr>
                <w:webHidden/>
              </w:rPr>
              <w:t>5</w:t>
            </w:r>
            <w:r>
              <w:rPr>
                <w:webHidden/>
              </w:rPr>
              <w:fldChar w:fldCharType="end"/>
            </w:r>
          </w:hyperlink>
        </w:p>
        <w:p w14:paraId="2173134F" w14:textId="2BD53053" w:rsidR="00B01FD1" w:rsidRDefault="00B01FD1">
          <w:pPr>
            <w:pStyle w:val="TOC2"/>
            <w:rPr>
              <w:rFonts w:asciiTheme="minorHAnsi" w:hAnsiTheme="minorHAnsi"/>
              <w:noProof/>
              <w:kern w:val="2"/>
              <w:szCs w:val="24"/>
              <w:lang w:val="en-GB" w:eastAsia="en-GB"/>
              <w14:ligatures w14:val="standardContextual"/>
            </w:rPr>
          </w:pPr>
          <w:hyperlink w:anchor="_Toc176865366" w:history="1">
            <w:r w:rsidRPr="009512FA">
              <w:rPr>
                <w:rStyle w:val="Hyperlink"/>
                <w:noProof/>
              </w:rPr>
              <w:t>2</w:t>
            </w:r>
            <w:r>
              <w:rPr>
                <w:rFonts w:asciiTheme="minorHAnsi" w:hAnsiTheme="minorHAnsi"/>
                <w:noProof/>
                <w:kern w:val="2"/>
                <w:szCs w:val="24"/>
                <w:lang w:val="en-GB" w:eastAsia="en-GB"/>
                <w14:ligatures w14:val="standardContextual"/>
              </w:rPr>
              <w:tab/>
            </w:r>
            <w:r w:rsidRPr="009512FA">
              <w:rPr>
                <w:rStyle w:val="Hyperlink"/>
                <w:noProof/>
              </w:rPr>
              <w:t>Purpose and scope</w:t>
            </w:r>
            <w:r>
              <w:rPr>
                <w:noProof/>
                <w:webHidden/>
              </w:rPr>
              <w:tab/>
            </w:r>
            <w:r>
              <w:rPr>
                <w:noProof/>
                <w:webHidden/>
              </w:rPr>
              <w:fldChar w:fldCharType="begin"/>
            </w:r>
            <w:r>
              <w:rPr>
                <w:noProof/>
                <w:webHidden/>
              </w:rPr>
              <w:instrText xml:space="preserve"> PAGEREF _Toc176865366 \h </w:instrText>
            </w:r>
            <w:r>
              <w:rPr>
                <w:noProof/>
                <w:webHidden/>
              </w:rPr>
            </w:r>
            <w:r>
              <w:rPr>
                <w:noProof/>
                <w:webHidden/>
              </w:rPr>
              <w:fldChar w:fldCharType="separate"/>
            </w:r>
            <w:r>
              <w:rPr>
                <w:noProof/>
                <w:webHidden/>
              </w:rPr>
              <w:t>5</w:t>
            </w:r>
            <w:r>
              <w:rPr>
                <w:noProof/>
                <w:webHidden/>
              </w:rPr>
              <w:fldChar w:fldCharType="end"/>
            </w:r>
          </w:hyperlink>
        </w:p>
        <w:p w14:paraId="56B894C4" w14:textId="56AF6BB5" w:rsidR="00B01FD1" w:rsidRDefault="00B01FD1">
          <w:pPr>
            <w:pStyle w:val="TOC2"/>
            <w:rPr>
              <w:rFonts w:asciiTheme="minorHAnsi" w:hAnsiTheme="minorHAnsi"/>
              <w:noProof/>
              <w:kern w:val="2"/>
              <w:szCs w:val="24"/>
              <w:lang w:val="en-GB" w:eastAsia="en-GB"/>
              <w14:ligatures w14:val="standardContextual"/>
            </w:rPr>
          </w:pPr>
          <w:hyperlink w:anchor="_Toc176865367" w:history="1">
            <w:r w:rsidRPr="009512FA">
              <w:rPr>
                <w:rStyle w:val="Hyperlink"/>
                <w:noProof/>
              </w:rPr>
              <w:t>3</w:t>
            </w:r>
            <w:r>
              <w:rPr>
                <w:rFonts w:asciiTheme="minorHAnsi" w:hAnsiTheme="minorHAnsi"/>
                <w:noProof/>
                <w:kern w:val="2"/>
                <w:szCs w:val="24"/>
                <w:lang w:val="en-GB" w:eastAsia="en-GB"/>
                <w14:ligatures w14:val="standardContextual"/>
              </w:rPr>
              <w:tab/>
            </w:r>
            <w:r w:rsidRPr="009512FA">
              <w:rPr>
                <w:rStyle w:val="Hyperlink"/>
                <w:noProof/>
              </w:rPr>
              <w:t>Duties – legal framework for this policy</w:t>
            </w:r>
            <w:r>
              <w:rPr>
                <w:noProof/>
                <w:webHidden/>
              </w:rPr>
              <w:tab/>
            </w:r>
            <w:r>
              <w:rPr>
                <w:noProof/>
                <w:webHidden/>
              </w:rPr>
              <w:fldChar w:fldCharType="begin"/>
            </w:r>
            <w:r>
              <w:rPr>
                <w:noProof/>
                <w:webHidden/>
              </w:rPr>
              <w:instrText xml:space="preserve"> PAGEREF _Toc176865367 \h </w:instrText>
            </w:r>
            <w:r>
              <w:rPr>
                <w:noProof/>
                <w:webHidden/>
              </w:rPr>
            </w:r>
            <w:r>
              <w:rPr>
                <w:noProof/>
                <w:webHidden/>
              </w:rPr>
              <w:fldChar w:fldCharType="separate"/>
            </w:r>
            <w:r>
              <w:rPr>
                <w:noProof/>
                <w:webHidden/>
              </w:rPr>
              <w:t>6</w:t>
            </w:r>
            <w:r>
              <w:rPr>
                <w:noProof/>
                <w:webHidden/>
              </w:rPr>
              <w:fldChar w:fldCharType="end"/>
            </w:r>
          </w:hyperlink>
        </w:p>
        <w:p w14:paraId="022FFF98" w14:textId="5D6B3148" w:rsidR="00B01FD1" w:rsidRDefault="00B01FD1">
          <w:pPr>
            <w:pStyle w:val="TOC2"/>
            <w:rPr>
              <w:rFonts w:asciiTheme="minorHAnsi" w:hAnsiTheme="minorHAnsi"/>
              <w:noProof/>
              <w:kern w:val="2"/>
              <w:szCs w:val="24"/>
              <w:lang w:val="en-GB" w:eastAsia="en-GB"/>
              <w14:ligatures w14:val="standardContextual"/>
            </w:rPr>
          </w:pPr>
          <w:hyperlink w:anchor="_Toc176865368" w:history="1">
            <w:r w:rsidRPr="009512FA">
              <w:rPr>
                <w:rStyle w:val="Hyperlink"/>
                <w:noProof/>
              </w:rPr>
              <w:t>4</w:t>
            </w:r>
            <w:r>
              <w:rPr>
                <w:rFonts w:asciiTheme="minorHAnsi" w:hAnsiTheme="minorHAnsi"/>
                <w:noProof/>
                <w:kern w:val="2"/>
                <w:szCs w:val="24"/>
                <w:lang w:val="en-GB" w:eastAsia="en-GB"/>
                <w14:ligatures w14:val="standardContextual"/>
              </w:rPr>
              <w:tab/>
            </w:r>
            <w:r w:rsidRPr="009512FA">
              <w:rPr>
                <w:rStyle w:val="Hyperlink"/>
                <w:noProof/>
              </w:rPr>
              <w:t>Responsibilities and Accountabilities</w:t>
            </w:r>
            <w:r>
              <w:rPr>
                <w:noProof/>
                <w:webHidden/>
              </w:rPr>
              <w:tab/>
            </w:r>
            <w:r>
              <w:rPr>
                <w:noProof/>
                <w:webHidden/>
              </w:rPr>
              <w:fldChar w:fldCharType="begin"/>
            </w:r>
            <w:r>
              <w:rPr>
                <w:noProof/>
                <w:webHidden/>
              </w:rPr>
              <w:instrText xml:space="preserve"> PAGEREF _Toc176865368 \h </w:instrText>
            </w:r>
            <w:r>
              <w:rPr>
                <w:noProof/>
                <w:webHidden/>
              </w:rPr>
            </w:r>
            <w:r>
              <w:rPr>
                <w:noProof/>
                <w:webHidden/>
              </w:rPr>
              <w:fldChar w:fldCharType="separate"/>
            </w:r>
            <w:r>
              <w:rPr>
                <w:noProof/>
                <w:webHidden/>
              </w:rPr>
              <w:t>6</w:t>
            </w:r>
            <w:r>
              <w:rPr>
                <w:noProof/>
                <w:webHidden/>
              </w:rPr>
              <w:fldChar w:fldCharType="end"/>
            </w:r>
          </w:hyperlink>
        </w:p>
        <w:p w14:paraId="066D1C46" w14:textId="76FD3C70" w:rsidR="00B01FD1" w:rsidRDefault="00B01FD1">
          <w:pPr>
            <w:pStyle w:val="TOC2"/>
            <w:rPr>
              <w:rFonts w:asciiTheme="minorHAnsi" w:hAnsiTheme="minorHAnsi"/>
              <w:noProof/>
              <w:kern w:val="2"/>
              <w:szCs w:val="24"/>
              <w:lang w:val="en-GB" w:eastAsia="en-GB"/>
              <w14:ligatures w14:val="standardContextual"/>
            </w:rPr>
          </w:pPr>
          <w:hyperlink w:anchor="_Toc176865369" w:history="1">
            <w:r w:rsidRPr="009512FA">
              <w:rPr>
                <w:rStyle w:val="Hyperlink"/>
                <w:noProof/>
              </w:rPr>
              <w:t>5</w:t>
            </w:r>
            <w:r>
              <w:rPr>
                <w:rFonts w:asciiTheme="minorHAnsi" w:hAnsiTheme="minorHAnsi"/>
                <w:noProof/>
                <w:kern w:val="2"/>
                <w:szCs w:val="24"/>
                <w:lang w:val="en-GB" w:eastAsia="en-GB"/>
                <w14:ligatures w14:val="standardContextual"/>
              </w:rPr>
              <w:tab/>
            </w:r>
            <w:r w:rsidRPr="009512FA">
              <w:rPr>
                <w:rStyle w:val="Hyperlink"/>
                <w:noProof/>
              </w:rPr>
              <w:t>Definitions/explanations of terms used</w:t>
            </w:r>
            <w:r>
              <w:rPr>
                <w:noProof/>
                <w:webHidden/>
              </w:rPr>
              <w:tab/>
            </w:r>
            <w:r>
              <w:rPr>
                <w:noProof/>
                <w:webHidden/>
              </w:rPr>
              <w:fldChar w:fldCharType="begin"/>
            </w:r>
            <w:r>
              <w:rPr>
                <w:noProof/>
                <w:webHidden/>
              </w:rPr>
              <w:instrText xml:space="preserve"> PAGEREF _Toc176865369 \h </w:instrText>
            </w:r>
            <w:r>
              <w:rPr>
                <w:noProof/>
                <w:webHidden/>
              </w:rPr>
            </w:r>
            <w:r>
              <w:rPr>
                <w:noProof/>
                <w:webHidden/>
              </w:rPr>
              <w:fldChar w:fldCharType="separate"/>
            </w:r>
            <w:r>
              <w:rPr>
                <w:noProof/>
                <w:webHidden/>
              </w:rPr>
              <w:t>10</w:t>
            </w:r>
            <w:r>
              <w:rPr>
                <w:noProof/>
                <w:webHidden/>
              </w:rPr>
              <w:fldChar w:fldCharType="end"/>
            </w:r>
          </w:hyperlink>
        </w:p>
        <w:p w14:paraId="22E269CC" w14:textId="466A0FD2" w:rsidR="00B01FD1" w:rsidRDefault="00B01FD1">
          <w:pPr>
            <w:pStyle w:val="TOC2"/>
            <w:rPr>
              <w:rFonts w:asciiTheme="minorHAnsi" w:hAnsiTheme="minorHAnsi"/>
              <w:noProof/>
              <w:kern w:val="2"/>
              <w:szCs w:val="24"/>
              <w:lang w:val="en-GB" w:eastAsia="en-GB"/>
              <w14:ligatures w14:val="standardContextual"/>
            </w:rPr>
          </w:pPr>
          <w:hyperlink w:anchor="_Toc176865370" w:history="1">
            <w:r w:rsidRPr="009512FA">
              <w:rPr>
                <w:rStyle w:val="Hyperlink"/>
                <w:noProof/>
              </w:rPr>
              <w:t>6</w:t>
            </w:r>
            <w:r>
              <w:rPr>
                <w:rFonts w:asciiTheme="minorHAnsi" w:hAnsiTheme="minorHAnsi"/>
                <w:noProof/>
                <w:kern w:val="2"/>
                <w:szCs w:val="24"/>
                <w:lang w:val="en-GB" w:eastAsia="en-GB"/>
                <w14:ligatures w14:val="standardContextual"/>
              </w:rPr>
              <w:tab/>
            </w:r>
            <w:r w:rsidRPr="009512FA">
              <w:rPr>
                <w:rStyle w:val="Hyperlink"/>
                <w:noProof/>
              </w:rPr>
              <w:t>Information Governance Principles</w:t>
            </w:r>
            <w:r>
              <w:rPr>
                <w:noProof/>
                <w:webHidden/>
              </w:rPr>
              <w:tab/>
            </w:r>
            <w:r>
              <w:rPr>
                <w:noProof/>
                <w:webHidden/>
              </w:rPr>
              <w:fldChar w:fldCharType="begin"/>
            </w:r>
            <w:r>
              <w:rPr>
                <w:noProof/>
                <w:webHidden/>
              </w:rPr>
              <w:instrText xml:space="preserve"> PAGEREF _Toc176865370 \h </w:instrText>
            </w:r>
            <w:r>
              <w:rPr>
                <w:noProof/>
                <w:webHidden/>
              </w:rPr>
            </w:r>
            <w:r>
              <w:rPr>
                <w:noProof/>
                <w:webHidden/>
              </w:rPr>
              <w:fldChar w:fldCharType="separate"/>
            </w:r>
            <w:r>
              <w:rPr>
                <w:noProof/>
                <w:webHidden/>
              </w:rPr>
              <w:t>11</w:t>
            </w:r>
            <w:r>
              <w:rPr>
                <w:noProof/>
                <w:webHidden/>
              </w:rPr>
              <w:fldChar w:fldCharType="end"/>
            </w:r>
          </w:hyperlink>
        </w:p>
        <w:p w14:paraId="630182B3" w14:textId="4D326C37" w:rsidR="00B01FD1" w:rsidRDefault="00B01FD1">
          <w:pPr>
            <w:pStyle w:val="TOC2"/>
            <w:rPr>
              <w:rFonts w:asciiTheme="minorHAnsi" w:hAnsiTheme="minorHAnsi"/>
              <w:noProof/>
              <w:kern w:val="2"/>
              <w:szCs w:val="24"/>
              <w:lang w:val="en-GB" w:eastAsia="en-GB"/>
              <w14:ligatures w14:val="standardContextual"/>
            </w:rPr>
          </w:pPr>
          <w:hyperlink w:anchor="_Toc176865371" w:history="1">
            <w:r w:rsidRPr="009512FA">
              <w:rPr>
                <w:rStyle w:val="Hyperlink"/>
                <w:noProof/>
              </w:rPr>
              <w:t>7</w:t>
            </w:r>
            <w:r>
              <w:rPr>
                <w:rFonts w:asciiTheme="minorHAnsi" w:hAnsiTheme="minorHAnsi"/>
                <w:noProof/>
                <w:kern w:val="2"/>
                <w:szCs w:val="24"/>
                <w:lang w:val="en-GB" w:eastAsia="en-GB"/>
                <w14:ligatures w14:val="standardContextual"/>
              </w:rPr>
              <w:tab/>
            </w:r>
            <w:r w:rsidRPr="009512FA">
              <w:rPr>
                <w:rStyle w:val="Hyperlink"/>
                <w:noProof/>
              </w:rPr>
              <w:t>Training requirements</w:t>
            </w:r>
            <w:r>
              <w:rPr>
                <w:noProof/>
                <w:webHidden/>
              </w:rPr>
              <w:tab/>
            </w:r>
            <w:r>
              <w:rPr>
                <w:noProof/>
                <w:webHidden/>
              </w:rPr>
              <w:fldChar w:fldCharType="begin"/>
            </w:r>
            <w:r>
              <w:rPr>
                <w:noProof/>
                <w:webHidden/>
              </w:rPr>
              <w:instrText xml:space="preserve"> PAGEREF _Toc176865371 \h </w:instrText>
            </w:r>
            <w:r>
              <w:rPr>
                <w:noProof/>
                <w:webHidden/>
              </w:rPr>
            </w:r>
            <w:r>
              <w:rPr>
                <w:noProof/>
                <w:webHidden/>
              </w:rPr>
              <w:fldChar w:fldCharType="separate"/>
            </w:r>
            <w:r>
              <w:rPr>
                <w:noProof/>
                <w:webHidden/>
              </w:rPr>
              <w:t>12</w:t>
            </w:r>
            <w:r>
              <w:rPr>
                <w:noProof/>
                <w:webHidden/>
              </w:rPr>
              <w:fldChar w:fldCharType="end"/>
            </w:r>
          </w:hyperlink>
        </w:p>
        <w:p w14:paraId="4C00088C" w14:textId="44673258" w:rsidR="00B01FD1" w:rsidRDefault="00B01FD1">
          <w:pPr>
            <w:pStyle w:val="TOC2"/>
            <w:rPr>
              <w:rFonts w:asciiTheme="minorHAnsi" w:hAnsiTheme="minorHAnsi"/>
              <w:noProof/>
              <w:kern w:val="2"/>
              <w:szCs w:val="24"/>
              <w:lang w:val="en-GB" w:eastAsia="en-GB"/>
              <w14:ligatures w14:val="standardContextual"/>
            </w:rPr>
          </w:pPr>
          <w:hyperlink w:anchor="_Toc176865372" w:history="1">
            <w:r w:rsidRPr="009512FA">
              <w:rPr>
                <w:rStyle w:val="Hyperlink"/>
                <w:noProof/>
              </w:rPr>
              <w:t>8</w:t>
            </w:r>
            <w:r>
              <w:rPr>
                <w:rFonts w:asciiTheme="minorHAnsi" w:hAnsiTheme="minorHAnsi"/>
                <w:noProof/>
                <w:kern w:val="2"/>
                <w:szCs w:val="24"/>
                <w:lang w:val="en-GB" w:eastAsia="en-GB"/>
                <w14:ligatures w14:val="standardContextual"/>
              </w:rPr>
              <w:tab/>
            </w:r>
            <w:r w:rsidRPr="009512FA">
              <w:rPr>
                <w:rStyle w:val="Hyperlink"/>
                <w:noProof/>
              </w:rPr>
              <w:t>Equality Impact Assessment</w:t>
            </w:r>
            <w:r>
              <w:rPr>
                <w:noProof/>
                <w:webHidden/>
              </w:rPr>
              <w:tab/>
            </w:r>
            <w:r>
              <w:rPr>
                <w:noProof/>
                <w:webHidden/>
              </w:rPr>
              <w:fldChar w:fldCharType="begin"/>
            </w:r>
            <w:r>
              <w:rPr>
                <w:noProof/>
                <w:webHidden/>
              </w:rPr>
              <w:instrText xml:space="preserve"> PAGEREF _Toc176865372 \h </w:instrText>
            </w:r>
            <w:r>
              <w:rPr>
                <w:noProof/>
                <w:webHidden/>
              </w:rPr>
            </w:r>
            <w:r>
              <w:rPr>
                <w:noProof/>
                <w:webHidden/>
              </w:rPr>
              <w:fldChar w:fldCharType="separate"/>
            </w:r>
            <w:r>
              <w:rPr>
                <w:noProof/>
                <w:webHidden/>
              </w:rPr>
              <w:t>12</w:t>
            </w:r>
            <w:r>
              <w:rPr>
                <w:noProof/>
                <w:webHidden/>
              </w:rPr>
              <w:fldChar w:fldCharType="end"/>
            </w:r>
          </w:hyperlink>
        </w:p>
        <w:p w14:paraId="3854BA3A" w14:textId="643A2E05" w:rsidR="00B01FD1" w:rsidRDefault="00B01FD1">
          <w:pPr>
            <w:pStyle w:val="TOC2"/>
            <w:rPr>
              <w:rFonts w:asciiTheme="minorHAnsi" w:hAnsiTheme="minorHAnsi"/>
              <w:noProof/>
              <w:kern w:val="2"/>
              <w:szCs w:val="24"/>
              <w:lang w:val="en-GB" w:eastAsia="en-GB"/>
              <w14:ligatures w14:val="standardContextual"/>
            </w:rPr>
          </w:pPr>
          <w:hyperlink w:anchor="_Toc176865373" w:history="1">
            <w:r w:rsidRPr="009512FA">
              <w:rPr>
                <w:rStyle w:val="Hyperlink"/>
                <w:noProof/>
              </w:rPr>
              <w:t>9</w:t>
            </w:r>
            <w:r>
              <w:rPr>
                <w:rFonts w:asciiTheme="minorHAnsi" w:hAnsiTheme="minorHAnsi"/>
                <w:noProof/>
                <w:kern w:val="2"/>
                <w:szCs w:val="24"/>
                <w:lang w:val="en-GB" w:eastAsia="en-GB"/>
                <w14:ligatures w14:val="standardContextual"/>
              </w:rPr>
              <w:tab/>
            </w:r>
            <w:r w:rsidRPr="009512FA">
              <w:rPr>
                <w:rStyle w:val="Hyperlink"/>
                <w:noProof/>
              </w:rPr>
              <w:t>Implementation and Monitoring Compliance and Effectiveness</w:t>
            </w:r>
            <w:r>
              <w:rPr>
                <w:noProof/>
                <w:webHidden/>
              </w:rPr>
              <w:tab/>
            </w:r>
            <w:r>
              <w:rPr>
                <w:noProof/>
                <w:webHidden/>
              </w:rPr>
              <w:fldChar w:fldCharType="begin"/>
            </w:r>
            <w:r>
              <w:rPr>
                <w:noProof/>
                <w:webHidden/>
              </w:rPr>
              <w:instrText xml:space="preserve"> PAGEREF _Toc176865373 \h </w:instrText>
            </w:r>
            <w:r>
              <w:rPr>
                <w:noProof/>
                <w:webHidden/>
              </w:rPr>
            </w:r>
            <w:r>
              <w:rPr>
                <w:noProof/>
                <w:webHidden/>
              </w:rPr>
              <w:fldChar w:fldCharType="separate"/>
            </w:r>
            <w:r>
              <w:rPr>
                <w:noProof/>
                <w:webHidden/>
              </w:rPr>
              <w:t>12</w:t>
            </w:r>
            <w:r>
              <w:rPr>
                <w:noProof/>
                <w:webHidden/>
              </w:rPr>
              <w:fldChar w:fldCharType="end"/>
            </w:r>
          </w:hyperlink>
        </w:p>
        <w:p w14:paraId="257914F8" w14:textId="54CBAE29" w:rsidR="00B01FD1" w:rsidRDefault="00B01FD1">
          <w:pPr>
            <w:pStyle w:val="TOC2"/>
            <w:rPr>
              <w:rFonts w:asciiTheme="minorHAnsi" w:hAnsiTheme="minorHAnsi"/>
              <w:noProof/>
              <w:kern w:val="2"/>
              <w:szCs w:val="24"/>
              <w:lang w:val="en-GB" w:eastAsia="en-GB"/>
              <w14:ligatures w14:val="standardContextual"/>
            </w:rPr>
          </w:pPr>
          <w:hyperlink w:anchor="_Toc176865374" w:history="1">
            <w:r w:rsidRPr="009512FA">
              <w:rPr>
                <w:rStyle w:val="Hyperlink"/>
                <w:noProof/>
              </w:rPr>
              <w:t>10</w:t>
            </w:r>
            <w:r>
              <w:rPr>
                <w:rFonts w:asciiTheme="minorHAnsi" w:hAnsiTheme="minorHAnsi"/>
                <w:noProof/>
                <w:kern w:val="2"/>
                <w:szCs w:val="24"/>
                <w:lang w:val="en-GB" w:eastAsia="en-GB"/>
                <w14:ligatures w14:val="standardContextual"/>
              </w:rPr>
              <w:tab/>
            </w:r>
            <w:r w:rsidRPr="009512FA">
              <w:rPr>
                <w:rStyle w:val="Hyperlink"/>
                <w:noProof/>
              </w:rPr>
              <w:t>Countering Fraud, Bribery and Corruption</w:t>
            </w:r>
            <w:r>
              <w:rPr>
                <w:noProof/>
                <w:webHidden/>
              </w:rPr>
              <w:tab/>
            </w:r>
            <w:r>
              <w:rPr>
                <w:noProof/>
                <w:webHidden/>
              </w:rPr>
              <w:fldChar w:fldCharType="begin"/>
            </w:r>
            <w:r>
              <w:rPr>
                <w:noProof/>
                <w:webHidden/>
              </w:rPr>
              <w:instrText xml:space="preserve"> PAGEREF _Toc176865374 \h </w:instrText>
            </w:r>
            <w:r>
              <w:rPr>
                <w:noProof/>
                <w:webHidden/>
              </w:rPr>
            </w:r>
            <w:r>
              <w:rPr>
                <w:noProof/>
                <w:webHidden/>
              </w:rPr>
              <w:fldChar w:fldCharType="separate"/>
            </w:r>
            <w:r>
              <w:rPr>
                <w:noProof/>
                <w:webHidden/>
              </w:rPr>
              <w:t>13</w:t>
            </w:r>
            <w:r>
              <w:rPr>
                <w:noProof/>
                <w:webHidden/>
              </w:rPr>
              <w:fldChar w:fldCharType="end"/>
            </w:r>
          </w:hyperlink>
        </w:p>
        <w:p w14:paraId="31263607" w14:textId="27BC4083" w:rsidR="00B01FD1" w:rsidRDefault="00B01FD1">
          <w:pPr>
            <w:pStyle w:val="TOC2"/>
            <w:rPr>
              <w:rFonts w:asciiTheme="minorHAnsi" w:hAnsiTheme="minorHAnsi"/>
              <w:noProof/>
              <w:kern w:val="2"/>
              <w:szCs w:val="24"/>
              <w:lang w:val="en-GB" w:eastAsia="en-GB"/>
              <w14:ligatures w14:val="standardContextual"/>
            </w:rPr>
          </w:pPr>
          <w:hyperlink w:anchor="_Toc176865375" w:history="1">
            <w:r w:rsidRPr="009512FA">
              <w:rPr>
                <w:rStyle w:val="Hyperlink"/>
                <w:noProof/>
              </w:rPr>
              <w:t>11</w:t>
            </w:r>
            <w:r>
              <w:rPr>
                <w:rFonts w:asciiTheme="minorHAnsi" w:hAnsiTheme="minorHAnsi"/>
                <w:noProof/>
                <w:kern w:val="2"/>
                <w:szCs w:val="24"/>
                <w:lang w:val="en-GB" w:eastAsia="en-GB"/>
                <w14:ligatures w14:val="standardContextual"/>
              </w:rPr>
              <w:tab/>
            </w:r>
            <w:r w:rsidRPr="009512FA">
              <w:rPr>
                <w:rStyle w:val="Hyperlink"/>
                <w:noProof/>
              </w:rPr>
              <w:t>References, acknowledgements and associated documents</w:t>
            </w:r>
            <w:r>
              <w:rPr>
                <w:noProof/>
                <w:webHidden/>
              </w:rPr>
              <w:tab/>
            </w:r>
            <w:r>
              <w:rPr>
                <w:noProof/>
                <w:webHidden/>
              </w:rPr>
              <w:fldChar w:fldCharType="begin"/>
            </w:r>
            <w:r>
              <w:rPr>
                <w:noProof/>
                <w:webHidden/>
              </w:rPr>
              <w:instrText xml:space="preserve"> PAGEREF _Toc176865375 \h </w:instrText>
            </w:r>
            <w:r>
              <w:rPr>
                <w:noProof/>
                <w:webHidden/>
              </w:rPr>
            </w:r>
            <w:r>
              <w:rPr>
                <w:noProof/>
                <w:webHidden/>
              </w:rPr>
              <w:fldChar w:fldCharType="separate"/>
            </w:r>
            <w:r>
              <w:rPr>
                <w:noProof/>
                <w:webHidden/>
              </w:rPr>
              <w:t>13</w:t>
            </w:r>
            <w:r>
              <w:rPr>
                <w:noProof/>
                <w:webHidden/>
              </w:rPr>
              <w:fldChar w:fldCharType="end"/>
            </w:r>
          </w:hyperlink>
        </w:p>
        <w:p w14:paraId="21F36C68" w14:textId="501F176B" w:rsidR="00B01FD1" w:rsidRDefault="00B01FD1">
          <w:pPr>
            <w:pStyle w:val="TOC2"/>
            <w:rPr>
              <w:rFonts w:asciiTheme="minorHAnsi" w:hAnsiTheme="minorHAnsi"/>
              <w:noProof/>
              <w:kern w:val="2"/>
              <w:szCs w:val="24"/>
              <w:lang w:val="en-GB" w:eastAsia="en-GB"/>
              <w14:ligatures w14:val="standardContextual"/>
            </w:rPr>
          </w:pPr>
          <w:hyperlink w:anchor="_Toc176865376" w:history="1">
            <w:r w:rsidRPr="009512FA">
              <w:rPr>
                <w:rStyle w:val="Hyperlink"/>
                <w:noProof/>
              </w:rPr>
              <w:t>12</w:t>
            </w:r>
            <w:r>
              <w:rPr>
                <w:rFonts w:asciiTheme="minorHAnsi" w:hAnsiTheme="minorHAnsi"/>
                <w:noProof/>
                <w:kern w:val="2"/>
                <w:szCs w:val="24"/>
                <w:lang w:val="en-GB" w:eastAsia="en-GB"/>
                <w14:ligatures w14:val="standardContextual"/>
              </w:rPr>
              <w:tab/>
            </w:r>
            <w:r w:rsidRPr="009512FA">
              <w:rPr>
                <w:rStyle w:val="Hyperlink"/>
                <w:noProof/>
              </w:rPr>
              <w:t>Appendices</w:t>
            </w:r>
            <w:r>
              <w:rPr>
                <w:noProof/>
                <w:webHidden/>
              </w:rPr>
              <w:tab/>
            </w:r>
            <w:r>
              <w:rPr>
                <w:noProof/>
                <w:webHidden/>
              </w:rPr>
              <w:fldChar w:fldCharType="begin"/>
            </w:r>
            <w:r>
              <w:rPr>
                <w:noProof/>
                <w:webHidden/>
              </w:rPr>
              <w:instrText xml:space="preserve"> PAGEREF _Toc176865376 \h </w:instrText>
            </w:r>
            <w:r>
              <w:rPr>
                <w:noProof/>
                <w:webHidden/>
              </w:rPr>
            </w:r>
            <w:r>
              <w:rPr>
                <w:noProof/>
                <w:webHidden/>
              </w:rPr>
              <w:fldChar w:fldCharType="separate"/>
            </w:r>
            <w:r>
              <w:rPr>
                <w:noProof/>
                <w:webHidden/>
              </w:rPr>
              <w:t>14</w:t>
            </w:r>
            <w:r>
              <w:rPr>
                <w:noProof/>
                <w:webHidden/>
              </w:rPr>
              <w:fldChar w:fldCharType="end"/>
            </w:r>
          </w:hyperlink>
        </w:p>
        <w:p w14:paraId="12929EA9" w14:textId="2B6D211A" w:rsidR="00B01FD1" w:rsidRDefault="00B01FD1">
          <w:pPr>
            <w:pStyle w:val="TOC3"/>
            <w:rPr>
              <w:rFonts w:asciiTheme="minorHAnsi" w:hAnsiTheme="minorHAnsi"/>
              <w:kern w:val="2"/>
              <w:szCs w:val="24"/>
              <w:lang w:val="en-GB" w:eastAsia="en-GB"/>
              <w14:ligatures w14:val="standardContextual"/>
            </w:rPr>
          </w:pPr>
          <w:hyperlink w:anchor="_Toc176865377" w:history="1">
            <w:r w:rsidRPr="009512FA">
              <w:rPr>
                <w:rStyle w:val="Hyperlink"/>
              </w:rPr>
              <w:t>12.1</w:t>
            </w:r>
            <w:r>
              <w:rPr>
                <w:rFonts w:asciiTheme="minorHAnsi" w:hAnsiTheme="minorHAnsi"/>
                <w:kern w:val="2"/>
                <w:szCs w:val="24"/>
                <w:lang w:val="en-GB" w:eastAsia="en-GB"/>
                <w14:ligatures w14:val="standardContextual"/>
              </w:rPr>
              <w:tab/>
            </w:r>
            <w:r w:rsidRPr="009512FA">
              <w:rPr>
                <w:rStyle w:val="Hyperlink"/>
              </w:rPr>
              <w:t>Legislation</w:t>
            </w:r>
            <w:r>
              <w:rPr>
                <w:webHidden/>
              </w:rPr>
              <w:tab/>
            </w:r>
            <w:r>
              <w:rPr>
                <w:webHidden/>
              </w:rPr>
              <w:fldChar w:fldCharType="begin"/>
            </w:r>
            <w:r>
              <w:rPr>
                <w:webHidden/>
              </w:rPr>
              <w:instrText xml:space="preserve"> PAGEREF _Toc176865377 \h </w:instrText>
            </w:r>
            <w:r>
              <w:rPr>
                <w:webHidden/>
              </w:rPr>
            </w:r>
            <w:r>
              <w:rPr>
                <w:webHidden/>
              </w:rPr>
              <w:fldChar w:fldCharType="separate"/>
            </w:r>
            <w:r>
              <w:rPr>
                <w:webHidden/>
              </w:rPr>
              <w:t>14</w:t>
            </w:r>
            <w:r>
              <w:rPr>
                <w:webHidden/>
              </w:rPr>
              <w:fldChar w:fldCharType="end"/>
            </w:r>
          </w:hyperlink>
        </w:p>
        <w:p w14:paraId="1DDD7ACF" w14:textId="2AD1F5C7" w:rsidR="00B01FD1" w:rsidRDefault="00B01FD1">
          <w:pPr>
            <w:pStyle w:val="TOC3"/>
            <w:rPr>
              <w:rFonts w:asciiTheme="minorHAnsi" w:hAnsiTheme="minorHAnsi"/>
              <w:kern w:val="2"/>
              <w:szCs w:val="24"/>
              <w:lang w:val="en-GB" w:eastAsia="en-GB"/>
              <w14:ligatures w14:val="standardContextual"/>
            </w:rPr>
          </w:pPr>
          <w:hyperlink w:anchor="_Toc176865378" w:history="1">
            <w:r w:rsidRPr="009512FA">
              <w:rPr>
                <w:rStyle w:val="Hyperlink"/>
                <w:rFonts w:eastAsia="Times New Roman"/>
              </w:rPr>
              <w:t>12.3</w:t>
            </w:r>
            <w:r>
              <w:rPr>
                <w:rFonts w:asciiTheme="minorHAnsi" w:hAnsiTheme="minorHAnsi"/>
                <w:kern w:val="2"/>
                <w:szCs w:val="24"/>
                <w:lang w:val="en-GB" w:eastAsia="en-GB"/>
                <w14:ligatures w14:val="standardContextual"/>
              </w:rPr>
              <w:tab/>
            </w:r>
            <w:r w:rsidRPr="009512FA">
              <w:rPr>
                <w:rStyle w:val="Hyperlink"/>
                <w:rFonts w:eastAsia="Times New Roman"/>
              </w:rPr>
              <w:t>Equality and Health Inequality Impact Assessment (EHIA)</w:t>
            </w:r>
            <w:r>
              <w:rPr>
                <w:webHidden/>
              </w:rPr>
              <w:tab/>
            </w:r>
            <w:r>
              <w:rPr>
                <w:webHidden/>
              </w:rPr>
              <w:fldChar w:fldCharType="begin"/>
            </w:r>
            <w:r>
              <w:rPr>
                <w:webHidden/>
              </w:rPr>
              <w:instrText xml:space="preserve"> PAGEREF _Toc176865378 \h </w:instrText>
            </w:r>
            <w:r>
              <w:rPr>
                <w:webHidden/>
              </w:rPr>
            </w:r>
            <w:r>
              <w:rPr>
                <w:webHidden/>
              </w:rPr>
              <w:fldChar w:fldCharType="separate"/>
            </w:r>
            <w:r>
              <w:rPr>
                <w:webHidden/>
              </w:rPr>
              <w:t>15</w:t>
            </w:r>
            <w:r>
              <w:rPr>
                <w:webHidden/>
              </w:rPr>
              <w:fldChar w:fldCharType="end"/>
            </w:r>
          </w:hyperlink>
        </w:p>
        <w:p w14:paraId="54BD20A1" w14:textId="3E84727E" w:rsidR="00B01FD1" w:rsidRDefault="00B01FD1">
          <w:pPr>
            <w:pStyle w:val="TOC2"/>
            <w:rPr>
              <w:rFonts w:asciiTheme="minorHAnsi" w:hAnsiTheme="minorHAnsi"/>
              <w:noProof/>
              <w:kern w:val="2"/>
              <w:szCs w:val="24"/>
              <w:lang w:val="en-GB" w:eastAsia="en-GB"/>
              <w14:ligatures w14:val="standardContextual"/>
            </w:rPr>
          </w:pPr>
          <w:hyperlink w:anchor="_Toc176865379" w:history="1">
            <w:r w:rsidRPr="009512FA">
              <w:rPr>
                <w:rStyle w:val="Hyperlink"/>
                <w:noProof/>
              </w:rPr>
              <w:t>13.</w:t>
            </w:r>
            <w:r>
              <w:rPr>
                <w:rFonts w:asciiTheme="minorHAnsi" w:hAnsiTheme="minorHAnsi"/>
                <w:noProof/>
                <w:kern w:val="2"/>
                <w:szCs w:val="24"/>
                <w:lang w:val="en-GB" w:eastAsia="en-GB"/>
                <w14:ligatures w14:val="standardContextual"/>
              </w:rPr>
              <w:tab/>
            </w:r>
            <w:r w:rsidRPr="009512FA">
              <w:rPr>
                <w:rStyle w:val="Hyperlink"/>
                <w:noProof/>
              </w:rPr>
              <w:t>Implementation Plan</w:t>
            </w:r>
            <w:r>
              <w:rPr>
                <w:noProof/>
                <w:webHidden/>
              </w:rPr>
              <w:tab/>
            </w:r>
            <w:r>
              <w:rPr>
                <w:noProof/>
                <w:webHidden/>
              </w:rPr>
              <w:fldChar w:fldCharType="begin"/>
            </w:r>
            <w:r>
              <w:rPr>
                <w:noProof/>
                <w:webHidden/>
              </w:rPr>
              <w:instrText xml:space="preserve"> PAGEREF _Toc176865379 \h </w:instrText>
            </w:r>
            <w:r>
              <w:rPr>
                <w:noProof/>
                <w:webHidden/>
              </w:rPr>
            </w:r>
            <w:r>
              <w:rPr>
                <w:noProof/>
                <w:webHidden/>
              </w:rPr>
              <w:fldChar w:fldCharType="separate"/>
            </w:r>
            <w:r>
              <w:rPr>
                <w:noProof/>
                <w:webHidden/>
              </w:rPr>
              <w:t>16</w:t>
            </w:r>
            <w:r>
              <w:rPr>
                <w:noProof/>
                <w:webHidden/>
              </w:rPr>
              <w:fldChar w:fldCharType="end"/>
            </w:r>
          </w:hyperlink>
        </w:p>
        <w:p w14:paraId="48B32E30" w14:textId="76999AA0" w:rsidR="00454535" w:rsidRDefault="00783A75">
          <w:pPr>
            <w:rPr>
              <w:b/>
              <w:bCs/>
              <w:noProof/>
            </w:rPr>
          </w:pPr>
          <w:r>
            <w:rPr>
              <w:b/>
              <w:bCs/>
              <w:noProof/>
            </w:rPr>
            <w:fldChar w:fldCharType="end"/>
          </w:r>
        </w:p>
      </w:sdtContent>
    </w:sdt>
    <w:p w14:paraId="68CEBB4D" w14:textId="03394FB3" w:rsidR="00F63300" w:rsidRPr="00454535" w:rsidRDefault="00F63300">
      <w:r>
        <w:br w:type="page"/>
      </w:r>
    </w:p>
    <w:p w14:paraId="7BD793A6" w14:textId="73BA4A5A" w:rsidR="00CD34FB" w:rsidRPr="00895FFC" w:rsidRDefault="007F6B01" w:rsidP="00C20134">
      <w:pPr>
        <w:pStyle w:val="Heading1"/>
      </w:pPr>
      <w:bookmarkStart w:id="9" w:name="_Toc176865363"/>
      <w:bookmarkEnd w:id="7"/>
      <w:r>
        <w:lastRenderedPageBreak/>
        <w:t>Information Governance Management Framework</w:t>
      </w:r>
      <w:bookmarkEnd w:id="9"/>
    </w:p>
    <w:p w14:paraId="7D7982D2" w14:textId="77777777" w:rsidR="001563B1" w:rsidRDefault="00CD34FB" w:rsidP="001563B1">
      <w:pPr>
        <w:pStyle w:val="Heading2"/>
        <w:numPr>
          <w:ilvl w:val="0"/>
          <w:numId w:val="5"/>
        </w:numPr>
        <w:tabs>
          <w:tab w:val="num" w:pos="360"/>
          <w:tab w:val="left" w:pos="450"/>
        </w:tabs>
        <w:spacing w:after="480"/>
        <w:ind w:left="0" w:firstLine="0"/>
      </w:pPr>
      <w:bookmarkStart w:id="10" w:name="_Toc509994129"/>
      <w:bookmarkStart w:id="11" w:name="_Toc176865364"/>
      <w:r w:rsidRPr="00C85064">
        <w:t>Introduction</w:t>
      </w:r>
      <w:bookmarkEnd w:id="10"/>
      <w:bookmarkEnd w:id="11"/>
    </w:p>
    <w:p w14:paraId="1CAD9CB5" w14:textId="7E3CCC60" w:rsidR="007F6B01" w:rsidRPr="001563B1" w:rsidRDefault="007F6B01" w:rsidP="001563B1">
      <w:pPr>
        <w:ind w:left="360"/>
        <w:rPr>
          <w:rFonts w:eastAsiaTheme="majorEastAsia" w:cstheme="majorBidi"/>
          <w:szCs w:val="26"/>
        </w:rPr>
      </w:pPr>
      <w:r w:rsidRPr="001563B1">
        <w:rPr>
          <w:rFonts w:eastAsia="Times New Roman"/>
        </w:rPr>
        <w:t>I</w:t>
      </w:r>
      <w:r w:rsidRPr="001563B1">
        <w:rPr>
          <w:shd w:val="clear" w:color="auto" w:fill="FFFFFF"/>
        </w:rPr>
        <w:t xml:space="preserve">nformation Governance (IG) is the framework for handling information in a secure and confidential manner that allows organisations and individuals to manage patient, personal and sensitive information legally, securely, efficiently and effectively </w:t>
      </w:r>
      <w:proofErr w:type="gramStart"/>
      <w:r w:rsidRPr="001563B1">
        <w:rPr>
          <w:shd w:val="clear" w:color="auto" w:fill="FFFFFF"/>
        </w:rPr>
        <w:t>in order to</w:t>
      </w:r>
      <w:proofErr w:type="gramEnd"/>
      <w:r w:rsidRPr="001563B1">
        <w:rPr>
          <w:shd w:val="clear" w:color="auto" w:fill="FFFFFF"/>
        </w:rPr>
        <w:t xml:space="preserve"> deliver the best possible healthcare and services</w:t>
      </w:r>
      <w:r w:rsidRPr="001563B1">
        <w:rPr>
          <w:sz w:val="27"/>
          <w:szCs w:val="27"/>
          <w:shd w:val="clear" w:color="auto" w:fill="FFFFFF"/>
        </w:rPr>
        <w:t>.</w:t>
      </w:r>
      <w:r w:rsidRPr="001563B1">
        <w:rPr>
          <w:rFonts w:eastAsia="Times New Roman"/>
          <w:szCs w:val="20"/>
        </w:rPr>
        <w:t xml:space="preserve"> </w:t>
      </w:r>
    </w:p>
    <w:p w14:paraId="79CA6487" w14:textId="77777777" w:rsidR="007F6B01" w:rsidRPr="007A6116" w:rsidRDefault="007F6B01" w:rsidP="007F6B01">
      <w:pPr>
        <w:ind w:left="360"/>
        <w:jc w:val="both"/>
        <w:rPr>
          <w:rFonts w:eastAsia="Times New Roman" w:cs="Arial"/>
          <w:szCs w:val="20"/>
        </w:rPr>
      </w:pPr>
      <w:r w:rsidRPr="007051C5">
        <w:rPr>
          <w:rFonts w:eastAsia="Times New Roman" w:cs="Arial"/>
          <w:szCs w:val="20"/>
        </w:rPr>
        <w:t xml:space="preserve">This framework sets out the approach taken </w:t>
      </w:r>
      <w:r>
        <w:rPr>
          <w:rFonts w:eastAsia="Times New Roman" w:cs="Arial"/>
          <w:szCs w:val="20"/>
        </w:rPr>
        <w:t>by</w:t>
      </w:r>
      <w:r w:rsidRPr="007051C5">
        <w:rPr>
          <w:rFonts w:eastAsia="Times New Roman" w:cs="Arial"/>
          <w:szCs w:val="20"/>
        </w:rPr>
        <w:t xml:space="preserve"> </w:t>
      </w:r>
      <w:r>
        <w:rPr>
          <w:rFonts w:eastAsia="Times New Roman" w:cs="Arial"/>
          <w:szCs w:val="20"/>
        </w:rPr>
        <w:t xml:space="preserve">Bristol, North Somerset and South Gloucestershire Integrated Care Board (BNSSG ICB) </w:t>
      </w:r>
      <w:r w:rsidRPr="007051C5">
        <w:rPr>
          <w:rFonts w:eastAsia="Times New Roman" w:cs="Arial"/>
          <w:szCs w:val="20"/>
        </w:rPr>
        <w:t xml:space="preserve">for embedding information governance and details the continuous improvements that </w:t>
      </w:r>
      <w:r>
        <w:rPr>
          <w:rFonts w:eastAsia="Times New Roman" w:cs="Arial"/>
          <w:szCs w:val="20"/>
        </w:rPr>
        <w:t>the ICB</w:t>
      </w:r>
      <w:r w:rsidRPr="007051C5">
        <w:rPr>
          <w:rFonts w:eastAsia="Times New Roman" w:cs="Arial"/>
          <w:szCs w:val="20"/>
        </w:rPr>
        <w:t xml:space="preserve"> is working </w:t>
      </w:r>
      <w:r w:rsidRPr="007A6116">
        <w:rPr>
          <w:rFonts w:eastAsia="Times New Roman" w:cs="Arial"/>
          <w:szCs w:val="20"/>
        </w:rPr>
        <w:t xml:space="preserve">towards. The organisation must have a robust information governance management framework to provide the clarity and context for its information governance activities. </w:t>
      </w:r>
    </w:p>
    <w:p w14:paraId="0D53ADE1" w14:textId="77777777" w:rsidR="007F6B01" w:rsidRDefault="007F6B01" w:rsidP="007F6B01">
      <w:pPr>
        <w:ind w:left="360"/>
        <w:jc w:val="both"/>
        <w:rPr>
          <w:rFonts w:eastAsia="Times New Roman" w:cs="Arial"/>
          <w:szCs w:val="20"/>
        </w:rPr>
      </w:pPr>
      <w:r w:rsidRPr="007A6116">
        <w:rPr>
          <w:rFonts w:eastAsia="Times New Roman" w:cs="Arial"/>
          <w:szCs w:val="20"/>
        </w:rPr>
        <w:t xml:space="preserve">The framework identifies how the </w:t>
      </w:r>
      <w:r>
        <w:rPr>
          <w:rFonts w:eastAsia="Times New Roman" w:cs="Arial"/>
          <w:szCs w:val="20"/>
        </w:rPr>
        <w:t>ICB</w:t>
      </w:r>
      <w:r w:rsidRPr="007A6116">
        <w:rPr>
          <w:rFonts w:eastAsia="Times New Roman" w:cs="Arial"/>
          <w:szCs w:val="20"/>
        </w:rPr>
        <w:t xml:space="preserve"> will deliver its strategic information governance responsibilities by identifying the accountability structure, processes, interrelated policies, procedures, improvement plans, reporting hierarchy and training within the </w:t>
      </w:r>
      <w:r>
        <w:rPr>
          <w:rFonts w:eastAsia="Times New Roman" w:cs="Arial"/>
          <w:szCs w:val="20"/>
        </w:rPr>
        <w:t>ICB</w:t>
      </w:r>
      <w:r w:rsidRPr="007A6116">
        <w:rPr>
          <w:rFonts w:eastAsia="Times New Roman" w:cs="Arial"/>
          <w:szCs w:val="20"/>
        </w:rPr>
        <w:t>. The</w:t>
      </w:r>
      <w:r>
        <w:rPr>
          <w:rFonts w:eastAsia="Times New Roman" w:cs="Arial"/>
          <w:szCs w:val="20"/>
        </w:rPr>
        <w:t xml:space="preserve"> ICB will</w:t>
      </w:r>
      <w:r w:rsidRPr="007051C5">
        <w:rPr>
          <w:rFonts w:eastAsia="Times New Roman" w:cs="Arial"/>
          <w:szCs w:val="20"/>
        </w:rPr>
        <w:t xml:space="preserve"> also </w:t>
      </w:r>
      <w:r>
        <w:rPr>
          <w:rFonts w:eastAsia="Times New Roman" w:cs="Arial"/>
          <w:szCs w:val="20"/>
        </w:rPr>
        <w:t>ensure that</w:t>
      </w:r>
      <w:r w:rsidRPr="007051C5">
        <w:rPr>
          <w:rFonts w:eastAsia="Times New Roman" w:cs="Arial"/>
          <w:szCs w:val="20"/>
        </w:rPr>
        <w:t xml:space="preserve"> the future management and protection of organisational information</w:t>
      </w:r>
      <w:r>
        <w:rPr>
          <w:rFonts w:eastAsia="Times New Roman" w:cs="Arial"/>
          <w:szCs w:val="20"/>
        </w:rPr>
        <w:t xml:space="preserve"> </w:t>
      </w:r>
      <w:proofErr w:type="gramStart"/>
      <w:r>
        <w:rPr>
          <w:rFonts w:eastAsia="Times New Roman" w:cs="Arial"/>
          <w:szCs w:val="20"/>
        </w:rPr>
        <w:t>is</w:t>
      </w:r>
      <w:r w:rsidRPr="007051C5">
        <w:rPr>
          <w:rFonts w:eastAsia="Times New Roman" w:cs="Arial"/>
          <w:szCs w:val="20"/>
        </w:rPr>
        <w:t xml:space="preserve"> in c</w:t>
      </w:r>
      <w:r>
        <w:rPr>
          <w:rFonts w:eastAsia="Times New Roman" w:cs="Arial"/>
          <w:szCs w:val="20"/>
        </w:rPr>
        <w:t>ompliance with</w:t>
      </w:r>
      <w:proofErr w:type="gramEnd"/>
      <w:r>
        <w:rPr>
          <w:rFonts w:eastAsia="Times New Roman" w:cs="Arial"/>
          <w:szCs w:val="20"/>
        </w:rPr>
        <w:t xml:space="preserve"> legislative and g</w:t>
      </w:r>
      <w:r w:rsidRPr="007051C5">
        <w:rPr>
          <w:rFonts w:eastAsia="Times New Roman" w:cs="Arial"/>
          <w:szCs w:val="20"/>
        </w:rPr>
        <w:t>overnment process and procedure</w:t>
      </w:r>
      <w:r>
        <w:rPr>
          <w:rFonts w:eastAsia="Times New Roman" w:cs="Arial"/>
          <w:szCs w:val="20"/>
        </w:rPr>
        <w:t xml:space="preserve"> including the National Data Guardian’s 10 Data Security Standards</w:t>
      </w:r>
      <w:r w:rsidRPr="007051C5">
        <w:rPr>
          <w:rFonts w:eastAsia="Times New Roman" w:cs="Arial"/>
          <w:szCs w:val="20"/>
        </w:rPr>
        <w:t xml:space="preserve">. </w:t>
      </w:r>
    </w:p>
    <w:p w14:paraId="2DAA75E4" w14:textId="77777777" w:rsidR="007F6B01" w:rsidRPr="007051C5" w:rsidRDefault="007F6B01" w:rsidP="007F6B01">
      <w:pPr>
        <w:ind w:left="360"/>
        <w:jc w:val="both"/>
        <w:rPr>
          <w:rFonts w:eastAsia="Times New Roman" w:cs="Arial"/>
          <w:szCs w:val="20"/>
        </w:rPr>
      </w:pPr>
      <w:r>
        <w:rPr>
          <w:rFonts w:eastAsia="Times New Roman" w:cs="Arial"/>
          <w:szCs w:val="20"/>
        </w:rPr>
        <w:t xml:space="preserve">This information governance management framework document is aligned with BNSSG ICBs objective to support the delivery of ICB operating and strategic plan.  </w:t>
      </w:r>
    </w:p>
    <w:p w14:paraId="41130980" w14:textId="4F5C09D3" w:rsidR="00CD34FB" w:rsidRPr="00C20134" w:rsidRDefault="00CD34FB" w:rsidP="00CD34FB">
      <w:pPr>
        <w:pStyle w:val="Heading3"/>
        <w:numPr>
          <w:ilvl w:val="0"/>
          <w:numId w:val="6"/>
        </w:numPr>
        <w:tabs>
          <w:tab w:val="num" w:pos="360"/>
          <w:tab w:val="left" w:pos="630"/>
        </w:tabs>
        <w:ind w:left="0" w:firstLine="0"/>
        <w:rPr>
          <w:color w:val="1C1F63" w:themeColor="text1"/>
          <w:sz w:val="26"/>
          <w:szCs w:val="26"/>
        </w:rPr>
      </w:pPr>
      <w:bookmarkStart w:id="12" w:name="_Toc176865365"/>
      <w:r w:rsidRPr="00C20134">
        <w:rPr>
          <w:color w:val="1C1F63" w:themeColor="text1"/>
          <w:sz w:val="26"/>
          <w:szCs w:val="26"/>
        </w:rPr>
        <w:t>BNSSG ICB Values</w:t>
      </w:r>
      <w:bookmarkEnd w:id="12"/>
    </w:p>
    <w:p w14:paraId="6C076822" w14:textId="6D96D1B5" w:rsidR="007F6B01" w:rsidRDefault="007F6B01" w:rsidP="007F6B01">
      <w:pPr>
        <w:ind w:left="576"/>
        <w:jc w:val="both"/>
        <w:rPr>
          <w:noProof/>
          <w:lang w:eastAsia="en-GB"/>
        </w:rPr>
      </w:pPr>
      <w:r w:rsidRPr="006305CA">
        <w:rPr>
          <w:rFonts w:eastAsia="Times New Roman" w:cs="Arial"/>
          <w:szCs w:val="24"/>
        </w:rPr>
        <w:t xml:space="preserve">This information governance management framework document is aligned with </w:t>
      </w:r>
      <w:r>
        <w:rPr>
          <w:rFonts w:eastAsia="Times New Roman" w:cs="Arial"/>
          <w:szCs w:val="24"/>
        </w:rPr>
        <w:t>ICB</w:t>
      </w:r>
      <w:r w:rsidRPr="006305CA">
        <w:rPr>
          <w:rFonts w:eastAsia="Times New Roman" w:cs="Arial"/>
          <w:szCs w:val="24"/>
        </w:rPr>
        <w:t xml:space="preserve"> values, in particular:</w:t>
      </w:r>
    </w:p>
    <w:p w14:paraId="7DAD49A5" w14:textId="77777777" w:rsidR="007F6B01" w:rsidRDefault="007F6B01" w:rsidP="007F6B01">
      <w:pPr>
        <w:ind w:left="576"/>
        <w:jc w:val="both"/>
        <w:rPr>
          <w:noProof/>
          <w:lang w:eastAsia="en-GB"/>
        </w:rPr>
      </w:pPr>
      <w:r w:rsidRPr="006305CA">
        <w:rPr>
          <w:i/>
          <w:noProof/>
          <w:lang w:eastAsia="en-GB"/>
        </w:rPr>
        <w:t>We act with integrity</w:t>
      </w:r>
      <w:r>
        <w:rPr>
          <w:noProof/>
          <w:lang w:eastAsia="en-GB"/>
        </w:rPr>
        <w:t xml:space="preserve"> – compliance with Data Protection Legislation requires the ICB to be open and transparent in our use of personal information this supports the creation of a culture of trust and respect.</w:t>
      </w:r>
    </w:p>
    <w:p w14:paraId="21036679" w14:textId="77777777" w:rsidR="007F6B01" w:rsidRDefault="007F6B01" w:rsidP="007F6B01">
      <w:pPr>
        <w:ind w:left="567"/>
        <w:jc w:val="both"/>
        <w:rPr>
          <w:noProof/>
          <w:lang w:eastAsia="en-GB"/>
        </w:rPr>
      </w:pPr>
      <w:r w:rsidRPr="006305CA">
        <w:rPr>
          <w:i/>
          <w:noProof/>
          <w:lang w:eastAsia="en-GB"/>
        </w:rPr>
        <w:t>We do the right thing</w:t>
      </w:r>
      <w:r>
        <w:rPr>
          <w:noProof/>
          <w:lang w:eastAsia="en-GB"/>
        </w:rPr>
        <w:t xml:space="preserve"> – this Framework supports the ICB’s legal compliance and aims to ensure that all activities are aligned to Data Protection legislation.</w:t>
      </w:r>
    </w:p>
    <w:p w14:paraId="13FC8ED9" w14:textId="77777777" w:rsidR="00CD34FB" w:rsidRPr="00AC3376" w:rsidRDefault="00CD34FB" w:rsidP="00CD34FB">
      <w:pPr>
        <w:pStyle w:val="Heading2"/>
        <w:numPr>
          <w:ilvl w:val="0"/>
          <w:numId w:val="5"/>
        </w:numPr>
        <w:tabs>
          <w:tab w:val="num" w:pos="360"/>
          <w:tab w:val="left" w:pos="450"/>
        </w:tabs>
        <w:ind w:left="0" w:firstLine="0"/>
      </w:pPr>
      <w:bookmarkStart w:id="13" w:name="_Toc508611230"/>
      <w:bookmarkStart w:id="14" w:name="_Toc176865366"/>
      <w:r w:rsidRPr="00AC3376">
        <w:t>Purpose and scope</w:t>
      </w:r>
      <w:bookmarkEnd w:id="13"/>
      <w:bookmarkEnd w:id="14"/>
    </w:p>
    <w:p w14:paraId="208557C4" w14:textId="492C1DAF" w:rsidR="007F6B01" w:rsidRPr="004A1372" w:rsidRDefault="007F6B01" w:rsidP="007F6B01">
      <w:pPr>
        <w:widowControl w:val="0"/>
        <w:ind w:left="360"/>
        <w:jc w:val="both"/>
        <w:rPr>
          <w:rFonts w:eastAsia="Times New Roman" w:cs="Arial"/>
          <w:szCs w:val="24"/>
        </w:rPr>
      </w:pPr>
      <w:r w:rsidRPr="004A1372">
        <w:rPr>
          <w:rFonts w:eastAsia="Times New Roman" w:cs="Arial"/>
          <w:bCs/>
          <w:szCs w:val="24"/>
        </w:rPr>
        <w:t>T</w:t>
      </w:r>
      <w:r w:rsidRPr="004A1372">
        <w:rPr>
          <w:rFonts w:eastAsia="Times New Roman" w:cs="Arial"/>
          <w:szCs w:val="24"/>
        </w:rPr>
        <w:t xml:space="preserve">his document applies to all directly and indirectly employed staff within </w:t>
      </w:r>
      <w:r>
        <w:rPr>
          <w:rFonts w:eastAsia="Times New Roman" w:cs="Arial"/>
          <w:szCs w:val="24"/>
        </w:rPr>
        <w:t>the ICB</w:t>
      </w:r>
      <w:r w:rsidRPr="004A1372">
        <w:rPr>
          <w:rFonts w:eastAsia="Times New Roman" w:cs="Arial"/>
          <w:szCs w:val="24"/>
        </w:rPr>
        <w:t xml:space="preserve"> and other persons working within </w:t>
      </w:r>
      <w:r>
        <w:rPr>
          <w:rFonts w:eastAsia="Times New Roman" w:cs="Arial"/>
          <w:szCs w:val="24"/>
        </w:rPr>
        <w:t xml:space="preserve">or on behalf of </w:t>
      </w:r>
      <w:r w:rsidRPr="004A1372">
        <w:rPr>
          <w:rFonts w:eastAsia="Times New Roman" w:cs="Arial"/>
          <w:szCs w:val="24"/>
        </w:rPr>
        <w:t>the organisation. This document applies to all third-party contractors or th</w:t>
      </w:r>
      <w:r>
        <w:rPr>
          <w:rFonts w:eastAsia="Times New Roman" w:cs="Arial"/>
          <w:szCs w:val="24"/>
        </w:rPr>
        <w:t>ose with similar relationships t</w:t>
      </w:r>
      <w:r w:rsidRPr="004A1372">
        <w:rPr>
          <w:rFonts w:eastAsia="Times New Roman" w:cs="Arial"/>
          <w:szCs w:val="24"/>
        </w:rPr>
        <w:t xml:space="preserve">hrough their contractual agreement </w:t>
      </w:r>
      <w:r>
        <w:rPr>
          <w:rFonts w:eastAsia="Times New Roman" w:cs="Arial"/>
          <w:szCs w:val="24"/>
        </w:rPr>
        <w:t>to carry out activities on behalf of the ICB</w:t>
      </w:r>
      <w:r w:rsidRPr="004A1372">
        <w:rPr>
          <w:rFonts w:eastAsia="Times New Roman" w:cs="Arial"/>
          <w:szCs w:val="24"/>
        </w:rPr>
        <w:t>.</w:t>
      </w:r>
    </w:p>
    <w:p w14:paraId="1CD0C953" w14:textId="77777777" w:rsidR="007F6B01" w:rsidRPr="004A1372" w:rsidRDefault="007F6B01" w:rsidP="007F6B01">
      <w:pPr>
        <w:widowControl w:val="0"/>
        <w:ind w:left="360"/>
        <w:jc w:val="both"/>
        <w:rPr>
          <w:rFonts w:eastAsia="Times New Roman" w:cs="Arial"/>
          <w:szCs w:val="24"/>
        </w:rPr>
      </w:pPr>
      <w:r w:rsidRPr="004A1372">
        <w:rPr>
          <w:rFonts w:eastAsia="Times New Roman" w:cs="Arial"/>
          <w:szCs w:val="24"/>
        </w:rPr>
        <w:lastRenderedPageBreak/>
        <w:t xml:space="preserve">‘Information governance’ describes the approach taken within which information standards are developed, implemented, and maintained by </w:t>
      </w:r>
      <w:r>
        <w:rPr>
          <w:rFonts w:eastAsia="Times New Roman" w:cs="Arial"/>
          <w:szCs w:val="24"/>
        </w:rPr>
        <w:t>the ICB.  Information governance</w:t>
      </w:r>
      <w:r w:rsidRPr="004A1372">
        <w:rPr>
          <w:rFonts w:eastAsia="Times New Roman" w:cs="Arial"/>
          <w:szCs w:val="24"/>
        </w:rPr>
        <w:t xml:space="preserve"> ensures best practice</w:t>
      </w:r>
      <w:r>
        <w:rPr>
          <w:rFonts w:eastAsia="Times New Roman" w:cs="Arial"/>
          <w:szCs w:val="24"/>
        </w:rPr>
        <w:t xml:space="preserve"> is</w:t>
      </w:r>
      <w:r w:rsidRPr="004A1372">
        <w:rPr>
          <w:rFonts w:eastAsia="Times New Roman" w:cs="Arial"/>
          <w:szCs w:val="24"/>
        </w:rPr>
        <w:t xml:space="preserve"> applie</w:t>
      </w:r>
      <w:r>
        <w:rPr>
          <w:rFonts w:eastAsia="Times New Roman" w:cs="Arial"/>
          <w:szCs w:val="24"/>
        </w:rPr>
        <w:t>d</w:t>
      </w:r>
      <w:r w:rsidRPr="004A1372">
        <w:rPr>
          <w:rFonts w:eastAsia="Times New Roman" w:cs="Arial"/>
          <w:szCs w:val="24"/>
        </w:rPr>
        <w:t xml:space="preserve"> to all information relating to </w:t>
      </w:r>
      <w:r>
        <w:rPr>
          <w:rFonts w:eastAsia="Times New Roman" w:cs="Arial"/>
          <w:szCs w:val="24"/>
        </w:rPr>
        <w:t xml:space="preserve">the </w:t>
      </w:r>
      <w:r w:rsidRPr="004A1372">
        <w:rPr>
          <w:rFonts w:eastAsia="Times New Roman" w:cs="Arial"/>
          <w:szCs w:val="24"/>
        </w:rPr>
        <w:t xml:space="preserve">organisation and individuals. </w:t>
      </w:r>
    </w:p>
    <w:p w14:paraId="6944603C" w14:textId="77777777" w:rsidR="007F6B01" w:rsidRDefault="007F6B01" w:rsidP="007F6B01">
      <w:pPr>
        <w:ind w:left="360"/>
        <w:jc w:val="both"/>
        <w:rPr>
          <w:rFonts w:eastAsia="Times New Roman" w:cs="Arial"/>
          <w:szCs w:val="24"/>
        </w:rPr>
      </w:pPr>
      <w:r w:rsidRPr="004A1372">
        <w:rPr>
          <w:rFonts w:eastAsia="Times New Roman" w:cs="Arial"/>
          <w:szCs w:val="24"/>
        </w:rPr>
        <w:t xml:space="preserve">Information governance management ensures that data is sourced, held, and used legally, securely, efficiently and effectively, to deliver the best possible care </w:t>
      </w:r>
      <w:r>
        <w:rPr>
          <w:rFonts w:eastAsia="Times New Roman" w:cs="Arial"/>
          <w:szCs w:val="24"/>
        </w:rPr>
        <w:t xml:space="preserve">and services </w:t>
      </w:r>
      <w:r w:rsidRPr="004A1372">
        <w:rPr>
          <w:rFonts w:eastAsia="Times New Roman" w:cs="Arial"/>
          <w:szCs w:val="24"/>
        </w:rPr>
        <w:t>in compliance with legislation and advice received from</w:t>
      </w:r>
      <w:r>
        <w:rPr>
          <w:rFonts w:eastAsia="Times New Roman" w:cs="Arial"/>
          <w:szCs w:val="24"/>
        </w:rPr>
        <w:t xml:space="preserve"> bodies including</w:t>
      </w:r>
      <w:r w:rsidRPr="004A1372">
        <w:rPr>
          <w:rFonts w:eastAsia="Times New Roman" w:cs="Arial"/>
          <w:szCs w:val="24"/>
        </w:rPr>
        <w:t xml:space="preserve"> NHS </w:t>
      </w:r>
      <w:r>
        <w:rPr>
          <w:rFonts w:eastAsia="Times New Roman" w:cs="Arial"/>
          <w:szCs w:val="24"/>
        </w:rPr>
        <w:t>England</w:t>
      </w:r>
      <w:r w:rsidRPr="004A1372">
        <w:rPr>
          <w:rFonts w:eastAsia="Times New Roman" w:cs="Arial"/>
          <w:szCs w:val="24"/>
        </w:rPr>
        <w:t xml:space="preserve">. Information is a vital asset to the organisation supporting the effective management of commissioned services and resources. Therefore, it is essential that all organisational information be managed effectively within a robust information governance management framework. </w:t>
      </w:r>
    </w:p>
    <w:p w14:paraId="77841536" w14:textId="77777777" w:rsidR="007F6B01" w:rsidRDefault="007F6B01" w:rsidP="007F6B01">
      <w:pPr>
        <w:ind w:left="360"/>
        <w:jc w:val="both"/>
      </w:pPr>
      <w:r w:rsidRPr="004A1372">
        <w:rPr>
          <w:rFonts w:eastAsia="Times New Roman" w:cs="Arial"/>
          <w:szCs w:val="24"/>
        </w:rPr>
        <w:t>The organisation requires accurate, timely and relevant information to enable it to commission the highest quality healthcare and to operate effectively and meet its objectives.  It is the responsibility of all staff to ensure that information is accurate and current and is used proactively in the conduct of its business. Accurate information that is dependable plays a key role in both corporate and clinical governance, strategic risk, performance management and service planning.</w:t>
      </w:r>
      <w:r w:rsidRPr="009C39D3">
        <w:t xml:space="preserve"> </w:t>
      </w:r>
    </w:p>
    <w:p w14:paraId="182A6567" w14:textId="77777777" w:rsidR="007F6B01" w:rsidRPr="00B45F96" w:rsidRDefault="007F6B01" w:rsidP="007F6B01">
      <w:pPr>
        <w:widowControl w:val="0"/>
        <w:ind w:left="360"/>
        <w:jc w:val="both"/>
        <w:rPr>
          <w:rFonts w:eastAsia="Times New Roman" w:cs="Arial"/>
          <w:szCs w:val="24"/>
        </w:rPr>
      </w:pPr>
      <w:r w:rsidRPr="00B45F96">
        <w:rPr>
          <w:rFonts w:eastAsia="Times New Roman" w:cs="Arial"/>
          <w:szCs w:val="24"/>
        </w:rPr>
        <w:t>The implementation of this framework will lead to improvements in information handling underpinned by clear standards</w:t>
      </w:r>
      <w:r>
        <w:rPr>
          <w:rFonts w:eastAsia="Times New Roman" w:cs="Arial"/>
          <w:szCs w:val="24"/>
        </w:rPr>
        <w:t xml:space="preserve">.  </w:t>
      </w:r>
      <w:r w:rsidRPr="00B45F96">
        <w:rPr>
          <w:rFonts w:eastAsia="Times New Roman" w:cs="Arial"/>
          <w:szCs w:val="24"/>
        </w:rPr>
        <w:t xml:space="preserve">The </w:t>
      </w:r>
      <w:r>
        <w:rPr>
          <w:rFonts w:eastAsia="Times New Roman" w:cs="Arial"/>
          <w:szCs w:val="24"/>
        </w:rPr>
        <w:t>ICB</w:t>
      </w:r>
      <w:r w:rsidRPr="00B45F96">
        <w:rPr>
          <w:rFonts w:eastAsia="Times New Roman" w:cs="Arial"/>
          <w:szCs w:val="24"/>
        </w:rPr>
        <w:t xml:space="preserve"> will be able to ensure that all employees manage personal information in compliance with NHS </w:t>
      </w:r>
      <w:r>
        <w:rPr>
          <w:rFonts w:eastAsia="Times New Roman" w:cs="Arial"/>
          <w:szCs w:val="24"/>
        </w:rPr>
        <w:t xml:space="preserve">England </w:t>
      </w:r>
      <w:r w:rsidRPr="00B45F96">
        <w:rPr>
          <w:rFonts w:eastAsia="Times New Roman" w:cs="Arial"/>
          <w:szCs w:val="24"/>
        </w:rPr>
        <w:t>regulations for governance.</w:t>
      </w:r>
    </w:p>
    <w:p w14:paraId="42172C52" w14:textId="77777777" w:rsidR="007F6B01" w:rsidRPr="00B45F96" w:rsidRDefault="007F6B01" w:rsidP="007F6B01">
      <w:pPr>
        <w:widowControl w:val="0"/>
        <w:ind w:left="360"/>
        <w:jc w:val="both"/>
        <w:rPr>
          <w:rFonts w:eastAsia="Times New Roman" w:cs="Arial"/>
          <w:szCs w:val="24"/>
        </w:rPr>
      </w:pPr>
      <w:r w:rsidRPr="00B45F96">
        <w:rPr>
          <w:rFonts w:eastAsia="Times New Roman" w:cs="Arial"/>
          <w:szCs w:val="24"/>
        </w:rPr>
        <w:t>Staff will be aware that their records will not be disclosed inappropriately, which will lead to greater confidence in NHS working practices.</w:t>
      </w:r>
    </w:p>
    <w:p w14:paraId="02515339" w14:textId="77777777" w:rsidR="007F6B01" w:rsidRDefault="007F6B01" w:rsidP="007F6B01">
      <w:pPr>
        <w:pStyle w:val="NormalBody"/>
        <w:ind w:left="360"/>
        <w:jc w:val="both"/>
        <w:rPr>
          <w:rFonts w:asciiTheme="minorHAnsi" w:eastAsia="Times New Roman" w:hAnsiTheme="minorHAnsi" w:cs="Arial"/>
          <w:color w:val="auto"/>
          <w:szCs w:val="24"/>
        </w:rPr>
      </w:pPr>
      <w:r w:rsidRPr="00B45F96">
        <w:rPr>
          <w:rFonts w:asciiTheme="minorHAnsi" w:eastAsia="Times New Roman" w:hAnsiTheme="minorHAnsi" w:cs="Arial"/>
          <w:color w:val="auto"/>
          <w:szCs w:val="24"/>
        </w:rPr>
        <w:t xml:space="preserve">The information governance framework should be seen as a tool that will aid </w:t>
      </w:r>
      <w:r>
        <w:rPr>
          <w:rFonts w:asciiTheme="minorHAnsi" w:eastAsia="Times New Roman" w:hAnsiTheme="minorHAnsi" w:cs="Arial"/>
          <w:color w:val="auto"/>
          <w:szCs w:val="24"/>
        </w:rPr>
        <w:t>the ICB</w:t>
      </w:r>
      <w:r w:rsidRPr="00B45F96">
        <w:rPr>
          <w:rFonts w:asciiTheme="minorHAnsi" w:eastAsia="Times New Roman" w:hAnsiTheme="minorHAnsi" w:cs="Arial"/>
          <w:color w:val="auto"/>
          <w:szCs w:val="24"/>
        </w:rPr>
        <w:t xml:space="preserve"> in preparation for embedding a ‘robust governance framework’. Information governance contributes to other standards by ensuring that data required for supporting decisions, processes and procedures are accurate, available and endures.</w:t>
      </w:r>
      <w:r>
        <w:rPr>
          <w:rFonts w:asciiTheme="minorHAnsi" w:eastAsia="Times New Roman" w:hAnsiTheme="minorHAnsi" w:cs="Arial"/>
          <w:color w:val="auto"/>
          <w:szCs w:val="24"/>
        </w:rPr>
        <w:t xml:space="preserve">  </w:t>
      </w:r>
    </w:p>
    <w:p w14:paraId="04F273A6" w14:textId="77777777" w:rsidR="007F6B01" w:rsidRDefault="007F6B01" w:rsidP="007F6B01">
      <w:pPr>
        <w:ind w:left="360"/>
      </w:pPr>
    </w:p>
    <w:p w14:paraId="644B54C9" w14:textId="77777777" w:rsidR="007F6B01" w:rsidRDefault="007F6B01" w:rsidP="007F6B01">
      <w:pPr>
        <w:ind w:left="360"/>
      </w:pPr>
      <w:r>
        <w:t>This framework is augmented by other related documents including those listed in Section 10 below.</w:t>
      </w:r>
    </w:p>
    <w:p w14:paraId="04E02302" w14:textId="6119AA4B" w:rsidR="00454535" w:rsidRPr="0098200F" w:rsidRDefault="00454535" w:rsidP="00454535">
      <w:pPr>
        <w:pStyle w:val="Heading2"/>
        <w:numPr>
          <w:ilvl w:val="0"/>
          <w:numId w:val="5"/>
        </w:numPr>
        <w:tabs>
          <w:tab w:val="num" w:pos="360"/>
          <w:tab w:val="left" w:pos="450"/>
        </w:tabs>
        <w:ind w:left="0" w:firstLine="0"/>
      </w:pPr>
      <w:bookmarkStart w:id="15" w:name="_Toc176865367"/>
      <w:r>
        <w:t>Duties – legal framework for this policy</w:t>
      </w:r>
      <w:bookmarkEnd w:id="15"/>
    </w:p>
    <w:p w14:paraId="25ABC0B8" w14:textId="0FE5BDC9" w:rsidR="00454535" w:rsidRPr="001563B1" w:rsidRDefault="001563B1" w:rsidP="001563B1">
      <w:pPr>
        <w:spacing w:after="500"/>
        <w:ind w:left="720" w:hanging="294"/>
      </w:pPr>
      <w:r w:rsidRPr="001563B1">
        <w:t>BNSSG ICB is legally responsible for compliance with UK Data Protection Legislation.</w:t>
      </w:r>
    </w:p>
    <w:p w14:paraId="5783AD74" w14:textId="77777777" w:rsidR="00AB3198" w:rsidRDefault="00AB3198" w:rsidP="00AB3198">
      <w:pPr>
        <w:pStyle w:val="Heading2"/>
        <w:numPr>
          <w:ilvl w:val="0"/>
          <w:numId w:val="5"/>
        </w:numPr>
        <w:tabs>
          <w:tab w:val="num" w:pos="360"/>
          <w:tab w:val="left" w:pos="450"/>
        </w:tabs>
        <w:ind w:left="0" w:firstLine="0"/>
      </w:pPr>
      <w:bookmarkStart w:id="16" w:name="_Toc508611231"/>
      <w:bookmarkStart w:id="17" w:name="_Toc176865368"/>
      <w:r w:rsidRPr="0098200F">
        <w:t>Responsibilities and Accountabilities</w:t>
      </w:r>
      <w:bookmarkEnd w:id="17"/>
    </w:p>
    <w:p w14:paraId="4C4593A2" w14:textId="77777777" w:rsidR="001563B1" w:rsidRPr="001563B1" w:rsidRDefault="001563B1" w:rsidP="001563B1"/>
    <w:p w14:paraId="2A6A5067" w14:textId="264C6D33" w:rsidR="007F6B01" w:rsidRPr="006305CA" w:rsidRDefault="001563B1" w:rsidP="007F6B01">
      <w:pPr>
        <w:rPr>
          <w:b/>
          <w:color w:val="1C1F63" w:themeColor="accent3"/>
          <w:lang w:eastAsia="en-GB"/>
        </w:rPr>
      </w:pPr>
      <w:r>
        <w:rPr>
          <w:b/>
          <w:color w:val="1C1F63" w:themeColor="accent3"/>
          <w:lang w:eastAsia="en-GB"/>
        </w:rPr>
        <w:t>4.1</w:t>
      </w:r>
      <w:r w:rsidR="007F6B01">
        <w:rPr>
          <w:b/>
          <w:color w:val="1C1F63" w:themeColor="accent3"/>
          <w:lang w:eastAsia="en-GB"/>
        </w:rPr>
        <w:tab/>
      </w:r>
      <w:r w:rsidR="007F6B01" w:rsidRPr="006305CA">
        <w:rPr>
          <w:b/>
          <w:color w:val="1C1F63" w:themeColor="accent3"/>
          <w:lang w:eastAsia="en-GB"/>
        </w:rPr>
        <w:t xml:space="preserve">Chief Executive </w:t>
      </w:r>
    </w:p>
    <w:p w14:paraId="4B9B50F1" w14:textId="77777777" w:rsidR="007F6B01" w:rsidRPr="00434DED" w:rsidRDefault="007F6B01" w:rsidP="007F6B01">
      <w:pPr>
        <w:widowControl w:val="0"/>
        <w:ind w:left="720"/>
        <w:jc w:val="both"/>
        <w:rPr>
          <w:rFonts w:eastAsia="Times New Roman" w:cs="Arial"/>
          <w:szCs w:val="24"/>
          <w:lang w:eastAsia="en-GB"/>
        </w:rPr>
      </w:pPr>
      <w:r w:rsidRPr="00F2026C">
        <w:rPr>
          <w:rFonts w:cs="Arial"/>
        </w:rPr>
        <w:t xml:space="preserve">The Chief Executive has overall responsibility for Information Governance legislation and best practices, and the requirements within the ‘Data Security and Protection </w:t>
      </w:r>
      <w:r w:rsidRPr="00F2026C">
        <w:rPr>
          <w:rFonts w:cs="Arial"/>
        </w:rPr>
        <w:lastRenderedPageBreak/>
        <w:t>Toolkit’ (DSPT) within the organisation.  They are responsible for the management of the organisation and for ensuring appropriate mechanisms are in place to support service delivery and continuity. The management of information risk and information governance practice is required within the Statement of Internal Control which the Accountable Officer is required to sign annually</w:t>
      </w:r>
      <w:r>
        <w:rPr>
          <w:rFonts w:cs="Arial"/>
        </w:rPr>
        <w:t>.</w:t>
      </w:r>
    </w:p>
    <w:p w14:paraId="78DBEA20" w14:textId="67466613" w:rsidR="007F6B01" w:rsidRPr="006305CA" w:rsidRDefault="001563B1" w:rsidP="007F6B01">
      <w:pPr>
        <w:ind w:left="720" w:hanging="720"/>
        <w:rPr>
          <w:b/>
          <w:color w:val="1C1F63" w:themeColor="accent3"/>
          <w:lang w:eastAsia="en-GB"/>
        </w:rPr>
      </w:pPr>
      <w:r>
        <w:rPr>
          <w:b/>
          <w:color w:val="1C1F63" w:themeColor="accent3"/>
          <w:lang w:eastAsia="en-GB"/>
        </w:rPr>
        <w:t>4</w:t>
      </w:r>
      <w:r w:rsidR="007F6B01">
        <w:rPr>
          <w:b/>
          <w:color w:val="1C1F63" w:themeColor="accent3"/>
          <w:lang w:eastAsia="en-GB"/>
        </w:rPr>
        <w:t xml:space="preserve">.2 </w:t>
      </w:r>
      <w:r w:rsidR="007F6B01">
        <w:rPr>
          <w:b/>
          <w:color w:val="1C1F63" w:themeColor="accent3"/>
          <w:lang w:eastAsia="en-GB"/>
        </w:rPr>
        <w:tab/>
      </w:r>
      <w:r w:rsidR="007F6B01" w:rsidRPr="001D3ED1">
        <w:rPr>
          <w:b/>
          <w:color w:val="1C1F63" w:themeColor="accent3"/>
          <w:lang w:eastAsia="en-GB"/>
        </w:rPr>
        <w:t xml:space="preserve">Senior Information Risk Owner (SIRO) – </w:t>
      </w:r>
      <w:r w:rsidR="007F6B01" w:rsidRPr="00C14287">
        <w:rPr>
          <w:rFonts w:eastAsia="Times New Roman" w:cs="Arial"/>
          <w:b/>
          <w:color w:val="1C1F63" w:themeColor="accent3"/>
          <w:lang w:eastAsia="en-GB"/>
        </w:rPr>
        <w:t>Chief Transformation, Data and Digital Officer/Chief Digital Information Officer</w:t>
      </w:r>
    </w:p>
    <w:p w14:paraId="27B1BFD1" w14:textId="77777777" w:rsidR="007F6B01" w:rsidRPr="00C14287" w:rsidRDefault="007F6B01" w:rsidP="007F6B01">
      <w:pPr>
        <w:ind w:left="720"/>
        <w:jc w:val="both"/>
        <w:rPr>
          <w:lang w:eastAsia="en-GB"/>
        </w:rPr>
      </w:pPr>
      <w:r w:rsidRPr="00C14287">
        <w:rPr>
          <w:lang w:eastAsia="en-GB"/>
        </w:rPr>
        <w:t xml:space="preserve">The </w:t>
      </w:r>
      <w:r>
        <w:rPr>
          <w:lang w:eastAsia="en-GB"/>
        </w:rPr>
        <w:t xml:space="preserve">Senior Information Risk Owner for the ICB is the </w:t>
      </w:r>
      <w:r w:rsidRPr="00C14287">
        <w:rPr>
          <w:lang w:eastAsia="en-GB"/>
        </w:rPr>
        <w:t xml:space="preserve">Chief Transformation, Data, and Digital Officer/Chief Digital Information Officer, </w:t>
      </w:r>
      <w:r w:rsidRPr="00F12527">
        <w:rPr>
          <w:rFonts w:cs="Arial"/>
        </w:rPr>
        <w:t>an executive board member with allocated lead responsibility for the organisation’s information risks and provides the focus for management of information risk at executive management level</w:t>
      </w:r>
      <w:r>
        <w:rPr>
          <w:lang w:eastAsia="en-GB"/>
        </w:rPr>
        <w:t xml:space="preserve">.  </w:t>
      </w:r>
      <w:r w:rsidRPr="00C14287">
        <w:rPr>
          <w:lang w:eastAsia="en-GB"/>
        </w:rPr>
        <w:t xml:space="preserve">The Chief Executive must receive assurances from the SIRO that information risk is being managed suitably and successfully throughout the </w:t>
      </w:r>
      <w:r w:rsidRPr="00F2026C">
        <w:rPr>
          <w:lang w:eastAsia="en-GB"/>
        </w:rPr>
        <w:t>ICB</w:t>
      </w:r>
      <w:r w:rsidRPr="00C14287">
        <w:rPr>
          <w:lang w:eastAsia="en-GB"/>
        </w:rPr>
        <w:t>, a</w:t>
      </w:r>
      <w:r>
        <w:rPr>
          <w:lang w:eastAsia="en-GB"/>
        </w:rPr>
        <w:t xml:space="preserve">nd </w:t>
      </w:r>
      <w:r w:rsidRPr="00F2026C">
        <w:rPr>
          <w:lang w:eastAsia="en-GB"/>
        </w:rPr>
        <w:t xml:space="preserve">for any services contracted by the organisation. </w:t>
      </w:r>
      <w:r w:rsidRPr="00C14287">
        <w:rPr>
          <w:rFonts w:eastAsia="Times New Roman"/>
          <w:szCs w:val="24"/>
          <w:lang w:eastAsia="en-GB"/>
        </w:rPr>
        <w:t>The Caldicott Guardian, the Data Protection Officer, the IG Manager (SCW), and the Information Asset Owners (IAOs) provide support to the SIRO.</w:t>
      </w:r>
    </w:p>
    <w:p w14:paraId="6D2152C5" w14:textId="711EA530" w:rsidR="007F6B01" w:rsidRPr="002B6402" w:rsidRDefault="001563B1" w:rsidP="007F6B01">
      <w:pPr>
        <w:widowControl w:val="0"/>
        <w:rPr>
          <w:rFonts w:eastAsia="Times New Roman" w:cs="Arial"/>
          <w:b/>
          <w:bCs/>
          <w:color w:val="1C1F63" w:themeColor="accent3"/>
          <w:szCs w:val="24"/>
          <w:lang w:eastAsia="en-GB"/>
        </w:rPr>
      </w:pPr>
      <w:r>
        <w:rPr>
          <w:rFonts w:eastAsia="Times New Roman" w:cs="Arial"/>
          <w:b/>
          <w:bCs/>
          <w:color w:val="1C1F63" w:themeColor="accent3"/>
          <w:szCs w:val="24"/>
          <w:lang w:eastAsia="en-GB"/>
        </w:rPr>
        <w:t>4</w:t>
      </w:r>
      <w:r w:rsidR="007F6B01" w:rsidRPr="002B6402">
        <w:rPr>
          <w:rFonts w:eastAsia="Times New Roman" w:cs="Arial"/>
          <w:b/>
          <w:bCs/>
          <w:color w:val="1C1F63" w:themeColor="accent3"/>
          <w:szCs w:val="24"/>
          <w:lang w:eastAsia="en-GB"/>
        </w:rPr>
        <w:t>.3.</w:t>
      </w:r>
      <w:r w:rsidR="007F6B01" w:rsidRPr="002B6402">
        <w:rPr>
          <w:rFonts w:eastAsia="Times New Roman" w:cs="Arial"/>
          <w:b/>
          <w:bCs/>
          <w:color w:val="1C1F63" w:themeColor="accent3"/>
          <w:szCs w:val="24"/>
          <w:lang w:eastAsia="en-GB"/>
        </w:rPr>
        <w:tab/>
        <w:t>The Caldicott Guardian</w:t>
      </w:r>
      <w:r w:rsidR="007F6B01">
        <w:rPr>
          <w:rFonts w:eastAsia="Times New Roman" w:cs="Arial"/>
          <w:b/>
          <w:bCs/>
          <w:color w:val="1C1F63" w:themeColor="accent3"/>
          <w:szCs w:val="24"/>
          <w:lang w:eastAsia="en-GB"/>
        </w:rPr>
        <w:t xml:space="preserve"> (CG) – Chief </w:t>
      </w:r>
      <w:r w:rsidR="007F6B01" w:rsidRPr="00E86862">
        <w:rPr>
          <w:rFonts w:eastAsia="Times New Roman" w:cs="Arial"/>
          <w:b/>
          <w:bCs/>
          <w:color w:val="1C1F63" w:themeColor="accent3"/>
          <w:szCs w:val="24"/>
          <w:lang w:eastAsia="en-GB"/>
        </w:rPr>
        <w:t xml:space="preserve">Medical </w:t>
      </w:r>
      <w:r w:rsidR="007F6B01">
        <w:rPr>
          <w:rFonts w:eastAsia="Times New Roman" w:cs="Arial"/>
          <w:b/>
          <w:bCs/>
          <w:color w:val="1C1F63" w:themeColor="accent3"/>
          <w:szCs w:val="24"/>
          <w:lang w:eastAsia="en-GB"/>
        </w:rPr>
        <w:t>Officer</w:t>
      </w:r>
    </w:p>
    <w:p w14:paraId="32714AD3" w14:textId="77777777" w:rsidR="007F6B01" w:rsidRPr="00434DED" w:rsidRDefault="007F6B01" w:rsidP="007F6B01">
      <w:pPr>
        <w:widowControl w:val="0"/>
        <w:ind w:left="720"/>
        <w:jc w:val="both"/>
        <w:rPr>
          <w:rFonts w:eastAsia="Times New Roman" w:cs="Arial"/>
          <w:b/>
          <w:bCs/>
          <w:szCs w:val="24"/>
          <w:lang w:eastAsia="en-GB"/>
        </w:rPr>
      </w:pPr>
      <w:r w:rsidRPr="00434DED">
        <w:rPr>
          <w:rFonts w:eastAsia="Times New Roman" w:cs="Arial"/>
          <w:szCs w:val="24"/>
          <w:lang w:eastAsia="en-GB"/>
        </w:rPr>
        <w:t>The Caldicott Guardian is a member of the Executive Management Team and a senior health or social care professional with responsibility for promoting clinical governance or equivalent functions</w:t>
      </w:r>
      <w:r>
        <w:rPr>
          <w:rFonts w:eastAsia="Times New Roman" w:cs="Arial"/>
          <w:szCs w:val="24"/>
          <w:lang w:eastAsia="en-GB"/>
        </w:rPr>
        <w:t xml:space="preserve"> and advising on confidentiality issues</w:t>
      </w:r>
      <w:r w:rsidRPr="00434DED">
        <w:rPr>
          <w:rFonts w:eastAsia="Times New Roman" w:cs="Arial"/>
          <w:szCs w:val="24"/>
          <w:lang w:eastAsia="en-GB"/>
        </w:rPr>
        <w:t xml:space="preserve">. </w:t>
      </w:r>
      <w:r>
        <w:rPr>
          <w:rFonts w:eastAsia="Times New Roman" w:cs="Arial"/>
          <w:szCs w:val="24"/>
          <w:lang w:eastAsia="en-GB"/>
        </w:rPr>
        <w:t xml:space="preserve">  </w:t>
      </w:r>
      <w:r w:rsidRPr="00434DED">
        <w:rPr>
          <w:rFonts w:eastAsia="Times New Roman" w:cs="Arial"/>
          <w:szCs w:val="24"/>
          <w:lang w:eastAsia="en-GB"/>
        </w:rPr>
        <w:t xml:space="preserve">The Caldicott Guardian acting as the conscience of the organisation plays a key role in ensuring that the </w:t>
      </w:r>
      <w:r>
        <w:rPr>
          <w:rFonts w:eastAsia="Times New Roman" w:cs="Arial"/>
          <w:szCs w:val="24"/>
          <w:lang w:eastAsia="en-GB"/>
        </w:rPr>
        <w:t>ICB</w:t>
      </w:r>
      <w:r w:rsidRPr="00434DED">
        <w:rPr>
          <w:rFonts w:eastAsia="Times New Roman" w:cs="Arial"/>
          <w:szCs w:val="24"/>
          <w:lang w:eastAsia="en-GB"/>
        </w:rPr>
        <w:t xml:space="preserve"> satisfies the highest practical standards for handling patient/staff identifiable information. The Caldicott Guardian serves as part of a broader Caldicott function and is supported by the Data Protection Officer</w:t>
      </w:r>
      <w:r>
        <w:rPr>
          <w:rFonts w:eastAsia="Times New Roman" w:cs="Arial"/>
          <w:szCs w:val="24"/>
          <w:lang w:eastAsia="en-GB"/>
        </w:rPr>
        <w:t xml:space="preserve"> and SCW Information Governance Team</w:t>
      </w:r>
      <w:r w:rsidRPr="00434DED">
        <w:rPr>
          <w:rFonts w:eastAsia="Times New Roman" w:cs="Arial"/>
          <w:szCs w:val="24"/>
          <w:lang w:eastAsia="en-GB"/>
        </w:rPr>
        <w:t xml:space="preserve">. </w:t>
      </w:r>
      <w:r w:rsidRPr="00434DED">
        <w:rPr>
          <w:rFonts w:eastAsia="Times New Roman" w:cs="Arial"/>
          <w:b/>
          <w:bCs/>
          <w:szCs w:val="24"/>
          <w:lang w:eastAsia="en-GB"/>
        </w:rPr>
        <w:t xml:space="preserve">  </w:t>
      </w:r>
    </w:p>
    <w:p w14:paraId="078732A4" w14:textId="7BB04A2F" w:rsidR="007F6B01" w:rsidRPr="002B6402" w:rsidRDefault="001563B1" w:rsidP="007F6B01">
      <w:pPr>
        <w:rPr>
          <w:b/>
          <w:color w:val="1C1F63" w:themeColor="accent3"/>
          <w:lang w:eastAsia="en-GB"/>
        </w:rPr>
      </w:pPr>
      <w:r>
        <w:rPr>
          <w:b/>
          <w:color w:val="1C1F63" w:themeColor="accent3"/>
          <w:lang w:eastAsia="en-GB"/>
        </w:rPr>
        <w:t>4</w:t>
      </w:r>
      <w:r w:rsidR="007F6B01" w:rsidRPr="002B6402">
        <w:rPr>
          <w:b/>
          <w:color w:val="1C1F63" w:themeColor="accent3"/>
          <w:lang w:eastAsia="en-GB"/>
        </w:rPr>
        <w:t>.4.</w:t>
      </w:r>
      <w:r w:rsidR="007F6B01" w:rsidRPr="002B6402">
        <w:rPr>
          <w:b/>
          <w:color w:val="1C1F63" w:themeColor="accent3"/>
          <w:lang w:eastAsia="en-GB"/>
        </w:rPr>
        <w:tab/>
        <w:t>Data Protection Officer</w:t>
      </w:r>
      <w:r w:rsidR="007F6B01">
        <w:rPr>
          <w:b/>
          <w:color w:val="1C1F63" w:themeColor="accent3"/>
          <w:lang w:eastAsia="en-GB"/>
        </w:rPr>
        <w:t xml:space="preserve"> (DPO)</w:t>
      </w:r>
    </w:p>
    <w:p w14:paraId="68AE6EF4" w14:textId="77777777" w:rsidR="007F6B01" w:rsidRPr="00434DED" w:rsidRDefault="007F6B01" w:rsidP="007F6B01">
      <w:pPr>
        <w:ind w:left="720"/>
        <w:jc w:val="both"/>
        <w:rPr>
          <w:lang w:eastAsia="en-GB"/>
        </w:rPr>
      </w:pPr>
      <w:r w:rsidRPr="00434DED">
        <w:rPr>
          <w:lang w:eastAsia="en-GB"/>
        </w:rPr>
        <w:t xml:space="preserve">The Data Protection Officer (DPO) </w:t>
      </w:r>
      <w:r>
        <w:rPr>
          <w:lang w:eastAsia="en-GB"/>
        </w:rPr>
        <w:t>will r</w:t>
      </w:r>
      <w:r w:rsidRPr="00434DED">
        <w:rPr>
          <w:lang w:eastAsia="en-GB"/>
        </w:rPr>
        <w:t xml:space="preserve">eport directly to the </w:t>
      </w:r>
      <w:r>
        <w:rPr>
          <w:lang w:eastAsia="en-GB"/>
        </w:rPr>
        <w:t>Governing Body</w:t>
      </w:r>
      <w:r w:rsidRPr="00434DED">
        <w:rPr>
          <w:lang w:eastAsia="en-GB"/>
        </w:rPr>
        <w:t xml:space="preserve"> in matters relating to data protection assurance and compliance, without prior oversight by their line manager.  </w:t>
      </w:r>
    </w:p>
    <w:p w14:paraId="600111ED" w14:textId="77777777" w:rsidR="007F6B01" w:rsidRPr="00434DED" w:rsidRDefault="007F6B01" w:rsidP="007F6B01">
      <w:pPr>
        <w:ind w:left="720"/>
        <w:jc w:val="both"/>
        <w:rPr>
          <w:lang w:eastAsia="en-GB"/>
        </w:rPr>
      </w:pPr>
      <w:r w:rsidRPr="00434DED">
        <w:rPr>
          <w:lang w:eastAsia="en-GB"/>
        </w:rPr>
        <w:t>The DPO must ensure that their responsibilities are not influenced in anyway</w:t>
      </w:r>
      <w:r>
        <w:rPr>
          <w:lang w:eastAsia="en-GB"/>
        </w:rPr>
        <w:t xml:space="preserve"> </w:t>
      </w:r>
      <w:r w:rsidRPr="00434DED">
        <w:rPr>
          <w:lang w:eastAsia="en-GB"/>
        </w:rPr>
        <w:t>and</w:t>
      </w:r>
      <w:r>
        <w:rPr>
          <w:lang w:eastAsia="en-GB"/>
        </w:rPr>
        <w:t xml:space="preserve"> </w:t>
      </w:r>
      <w:r w:rsidRPr="00434DED">
        <w:rPr>
          <w:lang w:eastAsia="en-GB"/>
        </w:rPr>
        <w:t>should a potential conflict of interest arise report this to the highest management level.</w:t>
      </w:r>
    </w:p>
    <w:p w14:paraId="0563AECD" w14:textId="77777777" w:rsidR="007F6B01" w:rsidRDefault="007F6B01" w:rsidP="007F6B01">
      <w:pPr>
        <w:ind w:left="720"/>
        <w:jc w:val="both"/>
        <w:rPr>
          <w:lang w:eastAsia="en-GB"/>
        </w:rPr>
      </w:pPr>
      <w:r w:rsidRPr="00434DED">
        <w:rPr>
          <w:lang w:eastAsia="en-GB"/>
        </w:rPr>
        <w:t xml:space="preserve">The DPOs cannot hold a position within the organisation that can be considered a </w:t>
      </w:r>
      <w:r w:rsidRPr="00434DED">
        <w:rPr>
          <w:u w:val="single"/>
          <w:lang w:eastAsia="en-GB"/>
        </w:rPr>
        <w:t>key</w:t>
      </w:r>
      <w:r w:rsidRPr="00434DED">
        <w:rPr>
          <w:lang w:eastAsia="en-GB"/>
        </w:rPr>
        <w:t xml:space="preserve"> decision maker in relation to what personal data is collected and used.  Their primary duties are to </w:t>
      </w:r>
    </w:p>
    <w:p w14:paraId="0EB86E4B" w14:textId="77777777" w:rsidR="007F6B01" w:rsidRPr="00A97CF5" w:rsidRDefault="007F6B01" w:rsidP="001563B1">
      <w:pPr>
        <w:pStyle w:val="ListParagraph"/>
        <w:numPr>
          <w:ilvl w:val="0"/>
          <w:numId w:val="7"/>
        </w:numPr>
        <w:spacing w:after="0" w:line="240" w:lineRule="auto"/>
        <w:ind w:left="1080"/>
        <w:rPr>
          <w:rFonts w:cs="Arial"/>
          <w:lang w:eastAsia="en-GB"/>
        </w:rPr>
      </w:pPr>
      <w:r w:rsidRPr="00A97CF5">
        <w:rPr>
          <w:rFonts w:cs="Arial"/>
        </w:rPr>
        <w:t>Inform and advise organisation and staff of their IG responsibilities</w:t>
      </w:r>
    </w:p>
    <w:p w14:paraId="546BDBB5" w14:textId="77777777" w:rsidR="007F6B01" w:rsidRPr="00A97CF5" w:rsidRDefault="007F6B01" w:rsidP="001563B1">
      <w:pPr>
        <w:pStyle w:val="ListParagraph"/>
        <w:numPr>
          <w:ilvl w:val="0"/>
          <w:numId w:val="7"/>
        </w:numPr>
        <w:spacing w:after="0" w:line="240" w:lineRule="auto"/>
        <w:ind w:left="1080"/>
        <w:rPr>
          <w:rFonts w:cs="Arial"/>
        </w:rPr>
      </w:pPr>
      <w:r w:rsidRPr="00A97CF5">
        <w:rPr>
          <w:rFonts w:cs="Arial"/>
        </w:rPr>
        <w:t xml:space="preserve">Monitor compliance with the </w:t>
      </w:r>
      <w:r>
        <w:rPr>
          <w:rFonts w:cs="Arial"/>
        </w:rPr>
        <w:t xml:space="preserve">UK </w:t>
      </w:r>
      <w:r w:rsidRPr="00A97CF5">
        <w:rPr>
          <w:rFonts w:cs="Arial"/>
        </w:rPr>
        <w:t>GDPR and the DPA 2018</w:t>
      </w:r>
    </w:p>
    <w:p w14:paraId="48D88BE4" w14:textId="77777777" w:rsidR="007F6B01" w:rsidRPr="00A97CF5" w:rsidRDefault="007F6B01" w:rsidP="001563B1">
      <w:pPr>
        <w:pStyle w:val="ListParagraph"/>
        <w:numPr>
          <w:ilvl w:val="0"/>
          <w:numId w:val="7"/>
        </w:numPr>
        <w:spacing w:after="0" w:line="240" w:lineRule="auto"/>
        <w:ind w:left="1080"/>
        <w:rPr>
          <w:rFonts w:cs="Arial"/>
        </w:rPr>
      </w:pPr>
      <w:r w:rsidRPr="00A97CF5">
        <w:rPr>
          <w:rFonts w:cs="Arial"/>
        </w:rPr>
        <w:t xml:space="preserve">Provide advice </w:t>
      </w:r>
      <w:proofErr w:type="gramStart"/>
      <w:r w:rsidRPr="00A97CF5">
        <w:rPr>
          <w:rFonts w:cs="Arial"/>
        </w:rPr>
        <w:t>where</w:t>
      </w:r>
      <w:proofErr w:type="gramEnd"/>
      <w:r w:rsidRPr="00A97CF5">
        <w:rPr>
          <w:rFonts w:cs="Arial"/>
        </w:rPr>
        <w:t xml:space="preserve"> requested regarding the Data Protection Impact Assessment, and monitor performance</w:t>
      </w:r>
    </w:p>
    <w:p w14:paraId="367B7B33" w14:textId="77777777" w:rsidR="007F6B01" w:rsidRPr="00A97CF5" w:rsidRDefault="007F6B01" w:rsidP="001563B1">
      <w:pPr>
        <w:pStyle w:val="ListParagraph"/>
        <w:numPr>
          <w:ilvl w:val="0"/>
          <w:numId w:val="7"/>
        </w:numPr>
        <w:spacing w:after="0" w:line="240" w:lineRule="auto"/>
        <w:ind w:left="1080"/>
        <w:rPr>
          <w:rFonts w:cs="Arial"/>
          <w:lang w:eastAsia="en-GB"/>
        </w:rPr>
      </w:pPr>
      <w:r w:rsidRPr="00A97CF5">
        <w:rPr>
          <w:rFonts w:cs="Arial"/>
          <w:lang w:eastAsia="en-GB"/>
        </w:rPr>
        <w:t>Cooperate with the supervisory authority</w:t>
      </w:r>
    </w:p>
    <w:p w14:paraId="3A323768" w14:textId="77777777" w:rsidR="007F6B01" w:rsidRPr="00FF6A44" w:rsidRDefault="007F6B01" w:rsidP="001563B1">
      <w:pPr>
        <w:pStyle w:val="ListParagraph"/>
        <w:numPr>
          <w:ilvl w:val="0"/>
          <w:numId w:val="7"/>
        </w:numPr>
        <w:spacing w:after="0" w:line="240" w:lineRule="auto"/>
        <w:ind w:left="1080"/>
        <w:rPr>
          <w:rFonts w:cs="Arial"/>
          <w:lang w:eastAsia="en-GB"/>
        </w:rPr>
      </w:pPr>
      <w:r w:rsidRPr="00FF6A44">
        <w:rPr>
          <w:rFonts w:cs="Arial"/>
          <w:lang w:eastAsia="en-GB"/>
        </w:rPr>
        <w:t xml:space="preserve">Be the </w:t>
      </w:r>
      <w:r>
        <w:rPr>
          <w:rFonts w:cs="Arial"/>
          <w:lang w:eastAsia="en-GB"/>
        </w:rPr>
        <w:t xml:space="preserve">principal </w:t>
      </w:r>
      <w:r w:rsidRPr="00FF6A44">
        <w:rPr>
          <w:rFonts w:cs="Arial"/>
          <w:lang w:eastAsia="en-GB"/>
        </w:rPr>
        <w:t xml:space="preserve">contact point with the Information Commissioners Office – </w:t>
      </w:r>
      <w:proofErr w:type="gramStart"/>
      <w:r>
        <w:rPr>
          <w:rFonts w:cs="Arial"/>
          <w:lang w:eastAsia="en-GB"/>
        </w:rPr>
        <w:t>in particular for</w:t>
      </w:r>
      <w:proofErr w:type="gramEnd"/>
      <w:r>
        <w:rPr>
          <w:rFonts w:cs="Arial"/>
          <w:lang w:eastAsia="en-GB"/>
        </w:rPr>
        <w:t xml:space="preserve"> incidents</w:t>
      </w:r>
    </w:p>
    <w:p w14:paraId="7AB5FF06" w14:textId="77777777" w:rsidR="007F6B01" w:rsidRDefault="007F6B01" w:rsidP="007F6B01">
      <w:pPr>
        <w:ind w:left="720"/>
        <w:jc w:val="both"/>
        <w:rPr>
          <w:lang w:eastAsia="en-GB"/>
        </w:rPr>
      </w:pPr>
      <w:r w:rsidRPr="00434DED">
        <w:lastRenderedPageBreak/>
        <w:t>They must give due regard to the risks associated with the processing of data undertaken by the organisation and work with the SIRO and Caldicott Guardian to achieve this.</w:t>
      </w:r>
    </w:p>
    <w:p w14:paraId="767CE608" w14:textId="77777777" w:rsidR="007F6B01" w:rsidRDefault="007F6B01" w:rsidP="007F6B01">
      <w:pPr>
        <w:ind w:left="720"/>
        <w:jc w:val="both"/>
      </w:pPr>
      <w:r w:rsidRPr="005A13A1">
        <w:t xml:space="preserve">The Data Protection Officer (DPO) is the person within </w:t>
      </w:r>
      <w:r>
        <w:t xml:space="preserve">the ICB that will ensure that Information Governance </w:t>
      </w:r>
      <w:r w:rsidRPr="005A13A1">
        <w:t>incident</w:t>
      </w:r>
      <w:r>
        <w:t xml:space="preserve">s which are </w:t>
      </w:r>
      <w:r w:rsidRPr="005A13A1">
        <w:t xml:space="preserve">likely to result in a risk to the rights and freedoms of </w:t>
      </w:r>
      <w:r>
        <w:t>individuals</w:t>
      </w:r>
      <w:r w:rsidRPr="005A13A1">
        <w:t xml:space="preserve"> the ICO (Information Commissioner’s Office) is informed</w:t>
      </w:r>
      <w:r>
        <w:t xml:space="preserve"> within </w:t>
      </w:r>
      <w:r w:rsidRPr="005A13A1">
        <w:t xml:space="preserve">72 hours. They </w:t>
      </w:r>
      <w:r>
        <w:t>are</w:t>
      </w:r>
      <w:r w:rsidRPr="005A13A1">
        <w:t xml:space="preserve"> also part of the Data Protection Impact Assessment (DPIA) process.</w:t>
      </w:r>
    </w:p>
    <w:p w14:paraId="29E0CBF6" w14:textId="662A21CF" w:rsidR="007F6B01" w:rsidRPr="002B6402" w:rsidRDefault="001563B1" w:rsidP="007F6B01">
      <w:pPr>
        <w:widowControl w:val="0"/>
        <w:rPr>
          <w:rFonts w:eastAsia="Times New Roman" w:cs="Arial"/>
          <w:b/>
          <w:bCs/>
          <w:color w:val="1C1F63" w:themeColor="accent3"/>
          <w:szCs w:val="24"/>
          <w:lang w:eastAsia="en-GB"/>
        </w:rPr>
      </w:pPr>
      <w:r>
        <w:rPr>
          <w:rFonts w:eastAsia="Times New Roman" w:cs="Arial"/>
          <w:b/>
          <w:bCs/>
          <w:color w:val="1C1F63" w:themeColor="accent3"/>
          <w:szCs w:val="24"/>
          <w:lang w:eastAsia="en-GB"/>
        </w:rPr>
        <w:t>4</w:t>
      </w:r>
      <w:r w:rsidR="007F6B01" w:rsidRPr="002B6402">
        <w:rPr>
          <w:rFonts w:eastAsia="Times New Roman" w:cs="Arial"/>
          <w:b/>
          <w:bCs/>
          <w:color w:val="1C1F63" w:themeColor="accent3"/>
          <w:szCs w:val="24"/>
          <w:lang w:eastAsia="en-GB"/>
        </w:rPr>
        <w:t>.5.</w:t>
      </w:r>
      <w:r w:rsidR="007F6B01" w:rsidRPr="002B6402">
        <w:rPr>
          <w:rFonts w:eastAsia="Times New Roman" w:cs="Arial"/>
          <w:b/>
          <w:bCs/>
          <w:color w:val="1C1F63" w:themeColor="accent3"/>
          <w:szCs w:val="24"/>
          <w:lang w:eastAsia="en-GB"/>
        </w:rPr>
        <w:tab/>
        <w:t>Infor</w:t>
      </w:r>
      <w:r w:rsidR="007F6B01">
        <w:rPr>
          <w:rFonts w:eastAsia="Times New Roman" w:cs="Arial"/>
          <w:b/>
          <w:bCs/>
          <w:color w:val="1C1F63" w:themeColor="accent3"/>
          <w:szCs w:val="24"/>
          <w:lang w:eastAsia="en-GB"/>
        </w:rPr>
        <w:t>mation A</w:t>
      </w:r>
      <w:r w:rsidR="007F6B01" w:rsidRPr="002B6402">
        <w:rPr>
          <w:rFonts w:eastAsia="Times New Roman" w:cs="Arial"/>
          <w:b/>
          <w:bCs/>
          <w:color w:val="1C1F63" w:themeColor="accent3"/>
          <w:szCs w:val="24"/>
          <w:lang w:eastAsia="en-GB"/>
        </w:rPr>
        <w:t xml:space="preserve">sset </w:t>
      </w:r>
      <w:r w:rsidR="007F6B01">
        <w:rPr>
          <w:rFonts w:eastAsia="Times New Roman" w:cs="Arial"/>
          <w:b/>
          <w:bCs/>
          <w:color w:val="1C1F63" w:themeColor="accent3"/>
          <w:szCs w:val="24"/>
          <w:lang w:eastAsia="en-GB"/>
        </w:rPr>
        <w:t>O</w:t>
      </w:r>
      <w:r w:rsidR="007F6B01" w:rsidRPr="002B6402">
        <w:rPr>
          <w:rFonts w:eastAsia="Times New Roman" w:cs="Arial"/>
          <w:b/>
          <w:bCs/>
          <w:color w:val="1C1F63" w:themeColor="accent3"/>
          <w:szCs w:val="24"/>
          <w:lang w:eastAsia="en-GB"/>
        </w:rPr>
        <w:t>wners (IAO’s)</w:t>
      </w:r>
    </w:p>
    <w:p w14:paraId="2FFD67F9" w14:textId="77777777" w:rsidR="007F6B01" w:rsidRPr="00364471" w:rsidRDefault="007F6B01" w:rsidP="007F6B01">
      <w:pPr>
        <w:pStyle w:val="BodyText1"/>
        <w:ind w:left="720"/>
        <w:jc w:val="both"/>
        <w:rPr>
          <w:color w:val="auto"/>
        </w:rPr>
      </w:pPr>
      <w:r w:rsidRPr="005A13A1">
        <w:t xml:space="preserve">The SIRO is supported by Information Asset Owners (IAOs).  The role of the IAO is to understand what information is held, what is added and what is removed, who has access and why in their own area.  As a result, they </w:t>
      </w:r>
      <w:proofErr w:type="gramStart"/>
      <w:r w:rsidRPr="005A13A1">
        <w:t>are able to</w:t>
      </w:r>
      <w:proofErr w:type="gramEnd"/>
      <w:r w:rsidRPr="005A13A1">
        <w:t xml:space="preserve"> understand and address risks to the information assets they ‘own’ and to provide assurance to the SIRO</w:t>
      </w:r>
      <w:r w:rsidRPr="00364471">
        <w:rPr>
          <w:color w:val="auto"/>
        </w:rPr>
        <w:t xml:space="preserve"> that information risks within their areas of responsibilities are identified, recorded and that controls are in place to mitigate those risks. They will also investigate and </w:t>
      </w:r>
      <w:proofErr w:type="gramStart"/>
      <w:r w:rsidRPr="00364471">
        <w:rPr>
          <w:color w:val="auto"/>
        </w:rPr>
        <w:t>take action</w:t>
      </w:r>
      <w:proofErr w:type="gramEnd"/>
      <w:r w:rsidRPr="00364471">
        <w:rPr>
          <w:color w:val="auto"/>
        </w:rPr>
        <w:t xml:space="preserve"> on any potential breaches of the organisations policies and procedures</w:t>
      </w:r>
      <w:r>
        <w:rPr>
          <w:color w:val="auto"/>
        </w:rPr>
        <w:t xml:space="preserve"> </w:t>
      </w:r>
      <w:r w:rsidRPr="00364471">
        <w:rPr>
          <w:color w:val="auto"/>
        </w:rPr>
        <w:t>and ensure that</w:t>
      </w:r>
      <w:r>
        <w:rPr>
          <w:color w:val="auto"/>
        </w:rPr>
        <w:t xml:space="preserve"> </w:t>
      </w:r>
      <w:r w:rsidRPr="00364471">
        <w:rPr>
          <w:color w:val="auto"/>
        </w:rPr>
        <w:t>a Data Protection Impact Assessment (DPIA) is undertaken where appropriate.</w:t>
      </w:r>
    </w:p>
    <w:p w14:paraId="41856C1C" w14:textId="71A82DD7" w:rsidR="007F6B01" w:rsidRPr="002B6402" w:rsidRDefault="001563B1" w:rsidP="007F6B01">
      <w:pPr>
        <w:widowControl w:val="0"/>
        <w:jc w:val="both"/>
        <w:rPr>
          <w:rFonts w:eastAsia="Arial Unicode MS" w:cs="Arial"/>
          <w:b/>
          <w:vanish/>
          <w:color w:val="1C1F63" w:themeColor="accent3"/>
          <w:szCs w:val="24"/>
        </w:rPr>
      </w:pPr>
      <w:r>
        <w:rPr>
          <w:rFonts w:eastAsia="Arial Unicode MS" w:cs="Arial"/>
          <w:b/>
          <w:color w:val="1C1F63" w:themeColor="accent3"/>
          <w:szCs w:val="24"/>
        </w:rPr>
        <w:t>4</w:t>
      </w:r>
      <w:r w:rsidR="007F6B01" w:rsidRPr="002B6402">
        <w:rPr>
          <w:rFonts w:eastAsia="Arial Unicode MS" w:cs="Arial"/>
          <w:b/>
          <w:color w:val="1C1F63" w:themeColor="accent3"/>
          <w:szCs w:val="24"/>
        </w:rPr>
        <w:t>.6.</w:t>
      </w:r>
      <w:r w:rsidR="007F6B01" w:rsidRPr="002B6402">
        <w:rPr>
          <w:rFonts w:eastAsia="Arial Unicode MS" w:cs="Arial"/>
          <w:b/>
          <w:color w:val="1C1F63" w:themeColor="accent3"/>
          <w:szCs w:val="24"/>
        </w:rPr>
        <w:tab/>
      </w:r>
    </w:p>
    <w:p w14:paraId="36914ADC" w14:textId="77777777" w:rsidR="007F6B01" w:rsidRPr="006E143D" w:rsidRDefault="007F6B01" w:rsidP="007F6B01">
      <w:pPr>
        <w:widowControl w:val="0"/>
        <w:jc w:val="both"/>
        <w:rPr>
          <w:rFonts w:eastAsia="Times New Roman" w:cs="Arial"/>
          <w:b/>
          <w:bCs/>
          <w:color w:val="1C1F63" w:themeColor="accent3"/>
          <w:szCs w:val="24"/>
          <w:lang w:eastAsia="en-GB"/>
        </w:rPr>
      </w:pPr>
      <w:r w:rsidRPr="006E143D">
        <w:rPr>
          <w:rFonts w:eastAsia="Times New Roman" w:cs="Arial"/>
          <w:b/>
          <w:bCs/>
          <w:color w:val="1C1F63" w:themeColor="accent3"/>
          <w:szCs w:val="24"/>
          <w:lang w:eastAsia="en-GB"/>
        </w:rPr>
        <w:t>Information Asset Administrators (IAAs)</w:t>
      </w:r>
    </w:p>
    <w:p w14:paraId="7EF1A7D8" w14:textId="77777777" w:rsidR="007F6B01" w:rsidRDefault="007F6B01" w:rsidP="007F6B01">
      <w:pPr>
        <w:ind w:left="720"/>
      </w:pPr>
      <w:bookmarkStart w:id="18" w:name="_Hlk162528534"/>
      <w:r>
        <w:t>Information Asset Administrators</w:t>
      </w:r>
      <w:r w:rsidRPr="005A13A1">
        <w:t xml:space="preserve"> are required to support the IAO’s and SIRO who will work with the Information Governance </w:t>
      </w:r>
      <w:r>
        <w:t>Team to ensure staff apply the data protection legislation and Caldicott P</w:t>
      </w:r>
      <w:r w:rsidRPr="005A13A1">
        <w:t xml:space="preserve">rinciples within </w:t>
      </w:r>
      <w:r>
        <w:t xml:space="preserve">daily </w:t>
      </w:r>
      <w:r w:rsidRPr="005A13A1">
        <w:t xml:space="preserve">working practices. </w:t>
      </w:r>
    </w:p>
    <w:p w14:paraId="6312E370" w14:textId="77777777" w:rsidR="007F6B01" w:rsidRPr="00434DED" w:rsidRDefault="007F6B01" w:rsidP="007F6B01">
      <w:pPr>
        <w:ind w:left="720"/>
        <w:rPr>
          <w:rFonts w:eastAsia="Times New Roman"/>
          <w:szCs w:val="24"/>
          <w:lang w:eastAsia="en-GB"/>
        </w:rPr>
      </w:pPr>
      <w:bookmarkStart w:id="19" w:name="_Hlk162528651"/>
      <w:bookmarkEnd w:id="18"/>
      <w:r w:rsidRPr="006E143D">
        <w:rPr>
          <w:rFonts w:eastAsia="Times New Roman"/>
          <w:szCs w:val="24"/>
          <w:lang w:eastAsia="en-GB"/>
        </w:rPr>
        <w:t>IAAs serve</w:t>
      </w:r>
      <w:r w:rsidRPr="00434DED">
        <w:rPr>
          <w:rFonts w:eastAsia="Times New Roman"/>
          <w:szCs w:val="24"/>
          <w:lang w:eastAsia="en-GB"/>
        </w:rPr>
        <w:t xml:space="preserve"> as local records managers and are responsible for assisting in the co-ordination of all aspects of information governance requests in the execution of their duties, which include:</w:t>
      </w:r>
    </w:p>
    <w:bookmarkEnd w:id="19"/>
    <w:p w14:paraId="66AC260A" w14:textId="77777777" w:rsidR="007F6B01" w:rsidRPr="00C14287" w:rsidRDefault="007F6B01" w:rsidP="007F6B01">
      <w:pPr>
        <w:pStyle w:val="ListParagraph"/>
        <w:numPr>
          <w:ilvl w:val="0"/>
          <w:numId w:val="9"/>
        </w:numPr>
        <w:spacing w:after="0" w:line="240" w:lineRule="auto"/>
        <w:rPr>
          <w:rFonts w:eastAsia="Arial Unicode MS" w:cs="Arial"/>
          <w:szCs w:val="24"/>
          <w:lang w:eastAsia="en-GB"/>
        </w:rPr>
      </w:pPr>
      <w:r w:rsidRPr="00C14287">
        <w:rPr>
          <w:rFonts w:eastAsia="Times New Roman" w:cs="Arial"/>
          <w:szCs w:val="24"/>
          <w:lang w:eastAsia="en-GB"/>
        </w:rPr>
        <w:t xml:space="preserve">provide support to their IAO </w:t>
      </w:r>
    </w:p>
    <w:p w14:paraId="753C2C1D" w14:textId="77777777" w:rsidR="007F6B01" w:rsidRPr="00C14287" w:rsidRDefault="007F6B01" w:rsidP="007F6B01">
      <w:pPr>
        <w:pStyle w:val="ListParagraph"/>
        <w:numPr>
          <w:ilvl w:val="0"/>
          <w:numId w:val="9"/>
        </w:numPr>
        <w:spacing w:after="0" w:line="240" w:lineRule="auto"/>
        <w:rPr>
          <w:rFonts w:eastAsia="Times New Roman" w:cs="Arial"/>
          <w:szCs w:val="24"/>
        </w:rPr>
      </w:pPr>
      <w:r w:rsidRPr="00C14287">
        <w:rPr>
          <w:rFonts w:eastAsia="Times New Roman" w:cs="Arial"/>
          <w:szCs w:val="24"/>
        </w:rPr>
        <w:t>ensure that policies and procedures are followed locally</w:t>
      </w:r>
    </w:p>
    <w:p w14:paraId="2075569D" w14:textId="77777777" w:rsidR="007F6B01" w:rsidRPr="00C14287" w:rsidRDefault="007F6B01" w:rsidP="007F6B01">
      <w:pPr>
        <w:pStyle w:val="ListParagraph"/>
        <w:numPr>
          <w:ilvl w:val="0"/>
          <w:numId w:val="9"/>
        </w:numPr>
        <w:spacing w:after="0" w:line="240" w:lineRule="auto"/>
        <w:rPr>
          <w:rFonts w:eastAsia="Times New Roman" w:cs="Arial"/>
          <w:szCs w:val="24"/>
        </w:rPr>
      </w:pPr>
      <w:r w:rsidRPr="00C14287">
        <w:rPr>
          <w:rFonts w:eastAsia="Times New Roman" w:cs="Arial"/>
          <w:szCs w:val="24"/>
        </w:rPr>
        <w:t>recognise potential or actual IG security incidents</w:t>
      </w:r>
    </w:p>
    <w:p w14:paraId="50888519" w14:textId="77777777" w:rsidR="007F6B01" w:rsidRPr="00C14287" w:rsidRDefault="007F6B01" w:rsidP="007F6B01">
      <w:pPr>
        <w:pStyle w:val="ListParagraph"/>
        <w:numPr>
          <w:ilvl w:val="0"/>
          <w:numId w:val="9"/>
        </w:numPr>
        <w:spacing w:after="0" w:line="240" w:lineRule="auto"/>
        <w:rPr>
          <w:rFonts w:eastAsia="Times New Roman" w:cs="Arial"/>
          <w:szCs w:val="24"/>
        </w:rPr>
      </w:pPr>
      <w:r w:rsidRPr="00C14287">
        <w:rPr>
          <w:rFonts w:eastAsia="Times New Roman" w:cs="Arial"/>
          <w:szCs w:val="24"/>
        </w:rPr>
        <w:t>undertake relevant IG audit tasks</w:t>
      </w:r>
    </w:p>
    <w:p w14:paraId="2066F58A" w14:textId="77777777" w:rsidR="007F6B01" w:rsidRPr="00C14287" w:rsidRDefault="007F6B01" w:rsidP="007F6B01">
      <w:pPr>
        <w:pStyle w:val="ListParagraph"/>
        <w:numPr>
          <w:ilvl w:val="0"/>
          <w:numId w:val="9"/>
        </w:numPr>
        <w:spacing w:after="0" w:line="240" w:lineRule="auto"/>
        <w:rPr>
          <w:rFonts w:eastAsia="Times New Roman" w:cs="Arial"/>
          <w:szCs w:val="24"/>
        </w:rPr>
      </w:pPr>
      <w:r w:rsidRPr="00C14287">
        <w:rPr>
          <w:rFonts w:eastAsia="Times New Roman" w:cs="Arial"/>
          <w:szCs w:val="24"/>
        </w:rPr>
        <w:t>consult their IAO on incident management</w:t>
      </w:r>
    </w:p>
    <w:p w14:paraId="28E6605D" w14:textId="77777777" w:rsidR="007F6B01" w:rsidRPr="00C14287" w:rsidRDefault="007F6B01" w:rsidP="007F6B01">
      <w:pPr>
        <w:pStyle w:val="ListParagraph"/>
        <w:numPr>
          <w:ilvl w:val="0"/>
          <w:numId w:val="9"/>
        </w:numPr>
        <w:spacing w:after="0" w:line="240" w:lineRule="auto"/>
        <w:rPr>
          <w:rFonts w:eastAsia="Arial Unicode MS" w:cs="Arial"/>
          <w:vanish/>
          <w:szCs w:val="24"/>
        </w:rPr>
      </w:pPr>
      <w:r w:rsidRPr="00C14287">
        <w:rPr>
          <w:rFonts w:eastAsia="Times New Roman" w:cs="Arial"/>
          <w:szCs w:val="24"/>
        </w:rPr>
        <w:t>ensure that information asset registers are accurate and maintained up to date</w:t>
      </w:r>
    </w:p>
    <w:p w14:paraId="290B903A" w14:textId="77777777" w:rsidR="007F6B01" w:rsidRPr="00C14287" w:rsidRDefault="007F6B01" w:rsidP="007F6B01">
      <w:pPr>
        <w:pStyle w:val="ListParagraph"/>
        <w:numPr>
          <w:ilvl w:val="0"/>
          <w:numId w:val="9"/>
        </w:numPr>
        <w:spacing w:after="0" w:line="240" w:lineRule="auto"/>
        <w:rPr>
          <w:rFonts w:eastAsia="Times New Roman" w:cs="Arial"/>
          <w:b/>
          <w:bCs/>
          <w:szCs w:val="24"/>
          <w:lang w:eastAsia="en-GB"/>
        </w:rPr>
      </w:pPr>
      <w:r w:rsidRPr="00C14287">
        <w:rPr>
          <w:rFonts w:eastAsia="Times New Roman" w:cs="Arial"/>
          <w:b/>
          <w:bCs/>
          <w:szCs w:val="24"/>
          <w:lang w:eastAsia="en-GB"/>
        </w:rPr>
        <w:t>.</w:t>
      </w:r>
    </w:p>
    <w:p w14:paraId="3BA8BCA4" w14:textId="77777777" w:rsidR="007F6B01" w:rsidRPr="00434DED" w:rsidRDefault="007F6B01" w:rsidP="007F6B01">
      <w:pPr>
        <w:widowControl w:val="0"/>
        <w:jc w:val="both"/>
        <w:rPr>
          <w:rFonts w:eastAsia="Times New Roman" w:cs="Arial"/>
          <w:b/>
          <w:bCs/>
          <w:szCs w:val="24"/>
          <w:lang w:eastAsia="en-GB"/>
        </w:rPr>
      </w:pPr>
    </w:p>
    <w:p w14:paraId="5359A290" w14:textId="279C3228" w:rsidR="007F6B01" w:rsidRPr="002B6402" w:rsidRDefault="001563B1" w:rsidP="007F6B01">
      <w:pPr>
        <w:widowControl w:val="0"/>
        <w:jc w:val="both"/>
        <w:rPr>
          <w:rFonts w:eastAsia="Times New Roman" w:cs="Arial"/>
          <w:color w:val="1C1F63" w:themeColor="accent3"/>
          <w:szCs w:val="24"/>
        </w:rPr>
      </w:pPr>
      <w:r>
        <w:rPr>
          <w:rFonts w:eastAsia="Times New Roman" w:cs="Arial"/>
          <w:b/>
          <w:bCs/>
          <w:color w:val="1C1F63" w:themeColor="accent3"/>
          <w:szCs w:val="24"/>
        </w:rPr>
        <w:t>4</w:t>
      </w:r>
      <w:r w:rsidR="007F6B01" w:rsidRPr="002B6402">
        <w:rPr>
          <w:rFonts w:eastAsia="Times New Roman" w:cs="Arial"/>
          <w:b/>
          <w:bCs/>
          <w:color w:val="1C1F63" w:themeColor="accent3"/>
          <w:szCs w:val="24"/>
        </w:rPr>
        <w:t>.7.</w:t>
      </w:r>
      <w:r w:rsidR="007F6B01" w:rsidRPr="002B6402">
        <w:rPr>
          <w:rFonts w:eastAsia="Times New Roman" w:cs="Arial"/>
          <w:b/>
          <w:bCs/>
          <w:color w:val="1C1F63" w:themeColor="accent3"/>
          <w:szCs w:val="24"/>
        </w:rPr>
        <w:tab/>
        <w:t>SCW Information Governance Service</w:t>
      </w:r>
    </w:p>
    <w:p w14:paraId="30BE56FD" w14:textId="77777777" w:rsidR="007F6B01" w:rsidRDefault="007F6B01" w:rsidP="007F6B01">
      <w:pPr>
        <w:widowControl w:val="0"/>
        <w:ind w:left="720"/>
        <w:jc w:val="both"/>
        <w:rPr>
          <w:rFonts w:eastAsia="Times New Roman" w:cs="Arial"/>
          <w:szCs w:val="24"/>
        </w:rPr>
      </w:pPr>
      <w:r w:rsidRPr="00434DED">
        <w:rPr>
          <w:rFonts w:eastAsia="Times New Roman" w:cs="Arial"/>
          <w:szCs w:val="24"/>
        </w:rPr>
        <w:t>SCW provides IG support services in line with the information governance service specification under any Service</w:t>
      </w:r>
      <w:r>
        <w:rPr>
          <w:rFonts w:eastAsia="Times New Roman" w:cs="Arial"/>
          <w:szCs w:val="24"/>
        </w:rPr>
        <w:t xml:space="preserve"> Level Agreement for IG Service</w:t>
      </w:r>
      <w:r w:rsidRPr="00434DED">
        <w:rPr>
          <w:rFonts w:eastAsia="Times New Roman" w:cs="Arial"/>
          <w:szCs w:val="24"/>
        </w:rPr>
        <w:t xml:space="preserve">. </w:t>
      </w:r>
    </w:p>
    <w:p w14:paraId="111BF83D" w14:textId="77777777" w:rsidR="007F6B01" w:rsidRDefault="007F6B01" w:rsidP="007F6B01">
      <w:pPr>
        <w:widowControl w:val="0"/>
        <w:jc w:val="both"/>
        <w:rPr>
          <w:rFonts w:eastAsia="Times New Roman" w:cs="Arial"/>
          <w:szCs w:val="24"/>
        </w:rPr>
      </w:pPr>
    </w:p>
    <w:p w14:paraId="75AAA704" w14:textId="77777777" w:rsidR="001563B1" w:rsidRPr="00434DED" w:rsidRDefault="001563B1" w:rsidP="007F6B01">
      <w:pPr>
        <w:widowControl w:val="0"/>
        <w:jc w:val="both"/>
        <w:rPr>
          <w:rFonts w:eastAsia="Times New Roman" w:cs="Arial"/>
          <w:szCs w:val="24"/>
        </w:rPr>
      </w:pPr>
    </w:p>
    <w:p w14:paraId="790EE4D8" w14:textId="0B699510" w:rsidR="007F6B01" w:rsidRPr="002B6402" w:rsidRDefault="001563B1" w:rsidP="007F6B01">
      <w:pPr>
        <w:widowControl w:val="0"/>
        <w:jc w:val="both"/>
        <w:rPr>
          <w:rFonts w:eastAsia="Times New Roman" w:cs="Arial"/>
          <w:b/>
          <w:color w:val="1C1F63" w:themeColor="accent3"/>
          <w:szCs w:val="24"/>
        </w:rPr>
      </w:pPr>
      <w:r>
        <w:rPr>
          <w:rFonts w:eastAsia="Times New Roman" w:cs="Arial"/>
          <w:b/>
          <w:color w:val="1C1F63" w:themeColor="accent3"/>
          <w:szCs w:val="24"/>
        </w:rPr>
        <w:lastRenderedPageBreak/>
        <w:t>4</w:t>
      </w:r>
      <w:r w:rsidR="007F6B01" w:rsidRPr="006E0A8C">
        <w:rPr>
          <w:rFonts w:eastAsia="Times New Roman" w:cs="Arial"/>
          <w:b/>
          <w:color w:val="1C1F63" w:themeColor="accent3"/>
          <w:szCs w:val="24"/>
        </w:rPr>
        <w:t>.8.</w:t>
      </w:r>
      <w:r w:rsidR="007F6B01" w:rsidRPr="006E0A8C">
        <w:rPr>
          <w:rFonts w:eastAsia="Times New Roman" w:cs="Arial"/>
          <w:b/>
          <w:color w:val="1C1F63" w:themeColor="accent3"/>
          <w:szCs w:val="24"/>
        </w:rPr>
        <w:tab/>
        <w:t>The BNSSG Information Governance Group (IGG)</w:t>
      </w:r>
    </w:p>
    <w:p w14:paraId="4B6E2482" w14:textId="77777777" w:rsidR="007F6B01" w:rsidRDefault="007F6B01" w:rsidP="007F6B01">
      <w:pPr>
        <w:ind w:left="720"/>
        <w:jc w:val="both"/>
        <w:rPr>
          <w:rFonts w:eastAsia="Times New Roman" w:cs="Arial"/>
          <w:szCs w:val="24"/>
        </w:rPr>
      </w:pPr>
      <w:r w:rsidRPr="007A6116">
        <w:rPr>
          <w:rFonts w:eastAsia="Times New Roman" w:cs="Arial"/>
          <w:szCs w:val="24"/>
        </w:rPr>
        <w:t xml:space="preserve">The Information Governance Group (IGG) oversees and provides leadership within BNSSG </w:t>
      </w:r>
      <w:r>
        <w:rPr>
          <w:rFonts w:eastAsia="Times New Roman" w:cs="Arial"/>
          <w:szCs w:val="24"/>
        </w:rPr>
        <w:t>ICB</w:t>
      </w:r>
      <w:r w:rsidRPr="007A6116">
        <w:rPr>
          <w:rFonts w:eastAsia="Times New Roman" w:cs="Arial"/>
          <w:szCs w:val="24"/>
        </w:rPr>
        <w:t xml:space="preserve"> for Information Governance (IG), ensuring that it complies with statutory responsibilities and fulfils the requirements of data protection legislation, the common law duty of confidentiality and The Records Management Code of Practice for Health and Social Care </w:t>
      </w:r>
      <w:r>
        <w:rPr>
          <w:rFonts w:eastAsia="Times New Roman" w:cs="Arial"/>
          <w:szCs w:val="24"/>
        </w:rPr>
        <w:t>Act 2012.</w:t>
      </w:r>
    </w:p>
    <w:p w14:paraId="2B20E454" w14:textId="77777777" w:rsidR="007F6B01" w:rsidRDefault="007F6B01" w:rsidP="007F6B01">
      <w:pPr>
        <w:ind w:left="352" w:firstLine="352"/>
        <w:jc w:val="both"/>
        <w:rPr>
          <w:rFonts w:eastAsia="Times New Roman" w:cs="Arial"/>
          <w:szCs w:val="24"/>
        </w:rPr>
      </w:pPr>
      <w:r>
        <w:rPr>
          <w:rFonts w:eastAsia="Times New Roman" w:cs="Arial"/>
          <w:szCs w:val="24"/>
        </w:rPr>
        <w:t>As stated in the Terms of Reference IGG is responsible:</w:t>
      </w:r>
    </w:p>
    <w:p w14:paraId="790880C8" w14:textId="77777777" w:rsidR="007F6B01" w:rsidRPr="005575AC" w:rsidRDefault="007F6B01" w:rsidP="007F6B01">
      <w:pPr>
        <w:pStyle w:val="ListParagraph"/>
        <w:numPr>
          <w:ilvl w:val="0"/>
          <w:numId w:val="8"/>
        </w:numPr>
        <w:spacing w:after="0" w:line="240" w:lineRule="auto"/>
        <w:jc w:val="both"/>
        <w:rPr>
          <w:rFonts w:asciiTheme="minorHAnsi" w:hAnsiTheme="minorHAnsi" w:cstheme="minorHAnsi"/>
        </w:rPr>
      </w:pPr>
      <w:r w:rsidRPr="005575AC">
        <w:rPr>
          <w:rFonts w:asciiTheme="minorHAnsi" w:hAnsiTheme="minorHAnsi" w:cstheme="minorHAnsi"/>
        </w:rPr>
        <w:t xml:space="preserve">To provide a forum for the scrutiny of the IG management framework and assurance model. </w:t>
      </w:r>
    </w:p>
    <w:p w14:paraId="564177A9" w14:textId="77777777" w:rsidR="007F6B01" w:rsidRPr="005575AC" w:rsidRDefault="007F6B01" w:rsidP="007F6B01">
      <w:pPr>
        <w:pStyle w:val="ListParagraph"/>
        <w:numPr>
          <w:ilvl w:val="0"/>
          <w:numId w:val="8"/>
        </w:numPr>
        <w:spacing w:after="0" w:line="240" w:lineRule="auto"/>
        <w:jc w:val="both"/>
        <w:rPr>
          <w:rFonts w:asciiTheme="minorHAnsi" w:hAnsiTheme="minorHAnsi" w:cstheme="minorHAnsi"/>
        </w:rPr>
      </w:pPr>
      <w:r w:rsidRPr="005575AC">
        <w:rPr>
          <w:rFonts w:asciiTheme="minorHAnsi" w:hAnsiTheme="minorHAnsi" w:cstheme="minorHAnsi"/>
        </w:rPr>
        <w:t>To oversee the annual IG assessment for sign off by the ICB.</w:t>
      </w:r>
    </w:p>
    <w:p w14:paraId="289863BD" w14:textId="77777777" w:rsidR="007F6B01" w:rsidRPr="005575AC" w:rsidRDefault="007F6B01" w:rsidP="007F6B01">
      <w:pPr>
        <w:pStyle w:val="ListParagraph"/>
        <w:numPr>
          <w:ilvl w:val="0"/>
          <w:numId w:val="8"/>
        </w:numPr>
        <w:spacing w:after="0" w:line="240" w:lineRule="auto"/>
        <w:jc w:val="both"/>
        <w:rPr>
          <w:rFonts w:asciiTheme="minorHAnsi" w:hAnsiTheme="minorHAnsi" w:cstheme="minorHAnsi"/>
        </w:rPr>
      </w:pPr>
      <w:r w:rsidRPr="005575AC">
        <w:rPr>
          <w:rFonts w:asciiTheme="minorHAnsi" w:hAnsiTheme="minorHAnsi" w:cstheme="minorHAnsi"/>
        </w:rPr>
        <w:t>To agree and oversee the organisation’s IG improvement programme.</w:t>
      </w:r>
    </w:p>
    <w:p w14:paraId="79371F3A" w14:textId="77777777" w:rsidR="007F6B01" w:rsidRPr="005575AC" w:rsidRDefault="007F6B01" w:rsidP="007F6B01">
      <w:pPr>
        <w:pStyle w:val="ListParagraph"/>
        <w:numPr>
          <w:ilvl w:val="0"/>
          <w:numId w:val="8"/>
        </w:numPr>
        <w:spacing w:after="0" w:line="240" w:lineRule="auto"/>
        <w:jc w:val="both"/>
        <w:rPr>
          <w:rFonts w:asciiTheme="minorHAnsi" w:hAnsiTheme="minorHAnsi" w:cstheme="minorHAnsi"/>
        </w:rPr>
      </w:pPr>
      <w:r w:rsidRPr="005575AC">
        <w:rPr>
          <w:rFonts w:asciiTheme="minorHAnsi" w:hAnsiTheme="minorHAnsi" w:cstheme="minorHAnsi"/>
        </w:rPr>
        <w:t>To ensure that the organisation’s approach to IG is communicated to all staff and made available to the public as appropriate.</w:t>
      </w:r>
    </w:p>
    <w:p w14:paraId="52B5DE8B" w14:textId="77777777" w:rsidR="007F6B01" w:rsidRPr="005575AC" w:rsidRDefault="007F6B01" w:rsidP="007F6B01">
      <w:pPr>
        <w:pStyle w:val="ListParagraph"/>
        <w:numPr>
          <w:ilvl w:val="0"/>
          <w:numId w:val="8"/>
        </w:numPr>
        <w:spacing w:after="0" w:line="240" w:lineRule="auto"/>
        <w:jc w:val="both"/>
        <w:rPr>
          <w:rFonts w:asciiTheme="minorHAnsi" w:hAnsiTheme="minorHAnsi" w:cstheme="minorHAnsi"/>
        </w:rPr>
      </w:pPr>
      <w:r w:rsidRPr="005575AC">
        <w:rPr>
          <w:rFonts w:asciiTheme="minorHAnsi" w:hAnsiTheme="minorHAnsi" w:cstheme="minorHAnsi"/>
        </w:rPr>
        <w:t>To offer support, advice and guidance to the Caldicott Function and Data Protection programme within the organisation.</w:t>
      </w:r>
    </w:p>
    <w:p w14:paraId="262758AF" w14:textId="77777777" w:rsidR="007F6B01" w:rsidRPr="005575AC" w:rsidRDefault="007F6B01" w:rsidP="007F6B01">
      <w:pPr>
        <w:pStyle w:val="ListParagraph"/>
        <w:numPr>
          <w:ilvl w:val="0"/>
          <w:numId w:val="8"/>
        </w:numPr>
        <w:spacing w:after="0" w:line="240" w:lineRule="auto"/>
        <w:jc w:val="both"/>
        <w:rPr>
          <w:rFonts w:asciiTheme="minorHAnsi" w:hAnsiTheme="minorHAnsi" w:cstheme="minorHAnsi"/>
        </w:rPr>
      </w:pPr>
      <w:r w:rsidRPr="005575AC">
        <w:rPr>
          <w:rFonts w:asciiTheme="minorHAnsi" w:hAnsiTheme="minorHAnsi" w:cstheme="minorHAnsi"/>
        </w:rPr>
        <w:t>To monitor the organisation’s information handling activities to ensure compliance with law and guidance.</w:t>
      </w:r>
    </w:p>
    <w:p w14:paraId="4E81F16A" w14:textId="77777777" w:rsidR="007F6B01" w:rsidRPr="005575AC" w:rsidRDefault="007F6B01" w:rsidP="007F6B01">
      <w:pPr>
        <w:pStyle w:val="ListParagraph"/>
        <w:numPr>
          <w:ilvl w:val="0"/>
          <w:numId w:val="8"/>
        </w:numPr>
        <w:spacing w:after="0" w:line="240" w:lineRule="auto"/>
        <w:jc w:val="both"/>
        <w:rPr>
          <w:rFonts w:asciiTheme="minorHAnsi" w:hAnsiTheme="minorHAnsi" w:cstheme="minorHAnsi"/>
        </w:rPr>
      </w:pPr>
      <w:r w:rsidRPr="005575AC">
        <w:rPr>
          <w:rFonts w:asciiTheme="minorHAnsi" w:hAnsiTheme="minorHAnsi" w:cstheme="minorHAnsi"/>
        </w:rPr>
        <w:t>To ensure that training made available by the organisation is taken up by staff as necessary to support their role.</w:t>
      </w:r>
    </w:p>
    <w:p w14:paraId="6A17400E" w14:textId="77777777" w:rsidR="007F6B01" w:rsidRPr="005575AC" w:rsidRDefault="007F6B01" w:rsidP="007F6B01">
      <w:pPr>
        <w:pStyle w:val="ListParagraph"/>
        <w:numPr>
          <w:ilvl w:val="0"/>
          <w:numId w:val="8"/>
        </w:numPr>
        <w:spacing w:after="0" w:line="240" w:lineRule="auto"/>
        <w:jc w:val="both"/>
        <w:rPr>
          <w:rFonts w:asciiTheme="minorHAnsi" w:hAnsiTheme="minorHAnsi" w:cstheme="minorHAnsi"/>
        </w:rPr>
      </w:pPr>
      <w:r w:rsidRPr="005575AC">
        <w:rPr>
          <w:rFonts w:asciiTheme="minorHAnsi" w:hAnsiTheme="minorHAnsi" w:cstheme="minorHAnsi"/>
        </w:rPr>
        <w:t>To ensure that corporate records management standards are developed and implemented within the organisation.</w:t>
      </w:r>
    </w:p>
    <w:p w14:paraId="19013D0B" w14:textId="77777777" w:rsidR="007F6B01" w:rsidRPr="005575AC" w:rsidRDefault="007F6B01" w:rsidP="007F6B01">
      <w:pPr>
        <w:pStyle w:val="ListParagraph"/>
        <w:numPr>
          <w:ilvl w:val="0"/>
          <w:numId w:val="8"/>
        </w:numPr>
        <w:spacing w:after="0" w:line="240" w:lineRule="auto"/>
        <w:jc w:val="both"/>
        <w:rPr>
          <w:rFonts w:asciiTheme="minorHAnsi" w:hAnsiTheme="minorHAnsi" w:cstheme="minorHAnsi"/>
        </w:rPr>
      </w:pPr>
      <w:r w:rsidRPr="005575AC">
        <w:rPr>
          <w:rFonts w:asciiTheme="minorHAnsi" w:hAnsiTheme="minorHAnsi" w:cstheme="minorHAnsi"/>
        </w:rPr>
        <w:t>Provide a focal point for the resolution and/or discussion of IG issues.</w:t>
      </w:r>
    </w:p>
    <w:p w14:paraId="5F8F8E4F" w14:textId="77777777" w:rsidR="007F6B01" w:rsidRPr="005575AC" w:rsidRDefault="007F6B01" w:rsidP="007F6B01">
      <w:pPr>
        <w:pStyle w:val="ListParagraph"/>
        <w:numPr>
          <w:ilvl w:val="0"/>
          <w:numId w:val="8"/>
        </w:numPr>
        <w:spacing w:after="0" w:line="240" w:lineRule="auto"/>
        <w:jc w:val="both"/>
        <w:rPr>
          <w:rFonts w:asciiTheme="minorHAnsi" w:hAnsiTheme="minorHAnsi" w:cstheme="minorHAnsi"/>
        </w:rPr>
      </w:pPr>
      <w:r w:rsidRPr="005575AC">
        <w:rPr>
          <w:rFonts w:asciiTheme="minorHAnsi" w:hAnsiTheme="minorHAnsi" w:cstheme="minorHAnsi"/>
        </w:rPr>
        <w:t>Review the flows of information to ensure they are appropriate and supported by relevant documentation especially those involving any transfer of personal data.</w:t>
      </w:r>
    </w:p>
    <w:p w14:paraId="21535933" w14:textId="77777777" w:rsidR="007F6B01" w:rsidRPr="005575AC" w:rsidRDefault="007F6B01" w:rsidP="007F6B01">
      <w:pPr>
        <w:pStyle w:val="ListParagraph"/>
        <w:numPr>
          <w:ilvl w:val="0"/>
          <w:numId w:val="8"/>
        </w:numPr>
        <w:spacing w:after="0" w:line="240" w:lineRule="auto"/>
        <w:jc w:val="both"/>
        <w:rPr>
          <w:rFonts w:asciiTheme="minorHAnsi" w:hAnsiTheme="minorHAnsi" w:cstheme="minorHAnsi"/>
        </w:rPr>
      </w:pPr>
      <w:r w:rsidRPr="005575AC">
        <w:rPr>
          <w:rFonts w:asciiTheme="minorHAnsi" w:hAnsiTheme="minorHAnsi" w:cstheme="minorHAnsi"/>
        </w:rPr>
        <w:t>To ensure that all new developments undertake statutorily required Data Protection Impact Assessments (DPIAs) to assess IG implications where required.</w:t>
      </w:r>
    </w:p>
    <w:p w14:paraId="1591AD9B" w14:textId="77777777" w:rsidR="007F6B01" w:rsidRPr="005575AC" w:rsidRDefault="007F6B01" w:rsidP="007F6B01">
      <w:pPr>
        <w:pStyle w:val="ListParagraph"/>
        <w:numPr>
          <w:ilvl w:val="0"/>
          <w:numId w:val="8"/>
        </w:numPr>
        <w:spacing w:after="0" w:line="240" w:lineRule="auto"/>
        <w:jc w:val="both"/>
        <w:rPr>
          <w:rFonts w:asciiTheme="minorHAnsi" w:hAnsiTheme="minorHAnsi" w:cstheme="minorHAnsi"/>
        </w:rPr>
      </w:pPr>
      <w:r w:rsidRPr="005575AC">
        <w:rPr>
          <w:rFonts w:asciiTheme="minorHAnsi" w:hAnsiTheme="minorHAnsi" w:cstheme="minorHAnsi"/>
        </w:rPr>
        <w:t>To ensure that Continuity plans for services include appropriate reference to information assets and continuity/recovery activities.</w:t>
      </w:r>
    </w:p>
    <w:p w14:paraId="10BDD001" w14:textId="77777777" w:rsidR="007F6B01" w:rsidRPr="005575AC" w:rsidRDefault="007F6B01" w:rsidP="007F6B01">
      <w:pPr>
        <w:pStyle w:val="ListParagraph"/>
        <w:numPr>
          <w:ilvl w:val="0"/>
          <w:numId w:val="8"/>
        </w:numPr>
        <w:spacing w:after="0" w:line="240" w:lineRule="auto"/>
        <w:jc w:val="both"/>
        <w:rPr>
          <w:rFonts w:asciiTheme="minorHAnsi" w:hAnsiTheme="minorHAnsi" w:cstheme="minorHAnsi"/>
        </w:rPr>
      </w:pPr>
      <w:r w:rsidRPr="005575AC">
        <w:rPr>
          <w:rFonts w:asciiTheme="minorHAnsi" w:hAnsiTheme="minorHAnsi" w:cstheme="minorHAnsi"/>
        </w:rPr>
        <w:t>To support the work of the SIRO, DPO, Caldicott Guardian (CG), Information Asset Owners (IAO) and Information Asset Administrators (IAA).</w:t>
      </w:r>
    </w:p>
    <w:p w14:paraId="5CE16EC8" w14:textId="77777777" w:rsidR="007F6B01" w:rsidRPr="005575AC" w:rsidRDefault="007F6B01" w:rsidP="007F6B01">
      <w:pPr>
        <w:pStyle w:val="ListParagraph"/>
        <w:numPr>
          <w:ilvl w:val="0"/>
          <w:numId w:val="8"/>
        </w:numPr>
        <w:spacing w:after="0" w:line="240" w:lineRule="auto"/>
        <w:jc w:val="both"/>
        <w:rPr>
          <w:rFonts w:asciiTheme="minorHAnsi" w:hAnsiTheme="minorHAnsi" w:cstheme="minorHAnsi"/>
        </w:rPr>
      </w:pPr>
      <w:r w:rsidRPr="005575AC">
        <w:rPr>
          <w:rFonts w:asciiTheme="minorHAnsi" w:hAnsiTheme="minorHAnsi" w:cstheme="minorHAnsi"/>
        </w:rPr>
        <w:t xml:space="preserve">To review all information and information security incidents. </w:t>
      </w:r>
    </w:p>
    <w:p w14:paraId="4F63E63E" w14:textId="77777777" w:rsidR="007F6B01" w:rsidRPr="005575AC" w:rsidRDefault="007F6B01" w:rsidP="007F6B01">
      <w:pPr>
        <w:pStyle w:val="ListParagraph"/>
        <w:numPr>
          <w:ilvl w:val="0"/>
          <w:numId w:val="8"/>
        </w:numPr>
        <w:spacing w:after="0" w:line="240" w:lineRule="auto"/>
        <w:jc w:val="both"/>
        <w:rPr>
          <w:rFonts w:asciiTheme="minorHAnsi" w:hAnsiTheme="minorHAnsi" w:cstheme="minorHAnsi"/>
        </w:rPr>
      </w:pPr>
      <w:r w:rsidRPr="005575AC">
        <w:rPr>
          <w:rFonts w:asciiTheme="minorHAnsi" w:hAnsiTheme="minorHAnsi" w:cstheme="minorHAnsi"/>
        </w:rPr>
        <w:t xml:space="preserve">Review information and information security risks/issues and to escalate where appropriate within the organisation and with customers. </w:t>
      </w:r>
    </w:p>
    <w:p w14:paraId="4684AE77" w14:textId="77777777" w:rsidR="007F6B01" w:rsidRPr="001563B1" w:rsidRDefault="007F6B01" w:rsidP="007F6B01">
      <w:pPr>
        <w:pStyle w:val="ListParagraph"/>
        <w:numPr>
          <w:ilvl w:val="0"/>
          <w:numId w:val="8"/>
        </w:numPr>
        <w:spacing w:after="0" w:line="240" w:lineRule="auto"/>
        <w:jc w:val="both"/>
        <w:rPr>
          <w:rFonts w:asciiTheme="minorHAnsi" w:hAnsiTheme="minorHAnsi" w:cstheme="minorHAnsi"/>
        </w:rPr>
      </w:pPr>
      <w:r w:rsidRPr="001563B1">
        <w:rPr>
          <w:rFonts w:asciiTheme="minorHAnsi" w:hAnsiTheme="minorHAnsi" w:cstheme="minorHAnsi"/>
        </w:rPr>
        <w:t>To ensure a comprehensive suite of IG policies is in place.</w:t>
      </w:r>
    </w:p>
    <w:p w14:paraId="6B25F22E" w14:textId="77777777" w:rsidR="007F6B01" w:rsidRPr="001563B1" w:rsidRDefault="007F6B01" w:rsidP="007F6B01">
      <w:pPr>
        <w:pStyle w:val="ListParagraph"/>
        <w:numPr>
          <w:ilvl w:val="0"/>
          <w:numId w:val="8"/>
        </w:numPr>
        <w:spacing w:after="0" w:line="240" w:lineRule="auto"/>
        <w:jc w:val="both"/>
        <w:rPr>
          <w:rFonts w:asciiTheme="minorHAnsi" w:hAnsiTheme="minorHAnsi" w:cstheme="minorHAnsi"/>
        </w:rPr>
      </w:pPr>
      <w:r w:rsidRPr="001563B1">
        <w:rPr>
          <w:rFonts w:asciiTheme="minorHAnsi" w:hAnsiTheme="minorHAnsi" w:cstheme="minorHAnsi"/>
        </w:rPr>
        <w:t>To receive and review DSP toolkit project/action plans.</w:t>
      </w:r>
    </w:p>
    <w:p w14:paraId="29C8BE95" w14:textId="77777777" w:rsidR="007F6B01" w:rsidRPr="001563B1" w:rsidRDefault="007F6B01" w:rsidP="007F6B01">
      <w:pPr>
        <w:numPr>
          <w:ilvl w:val="0"/>
          <w:numId w:val="8"/>
        </w:numPr>
        <w:spacing w:after="120" w:line="276" w:lineRule="auto"/>
        <w:jc w:val="both"/>
      </w:pPr>
      <w:r w:rsidRPr="001563B1">
        <w:t xml:space="preserve">To act as the ICB sub-licensing approval Group, ensuring the necessary assurance, controls and measures are in place before approval is granted to data.   </w:t>
      </w:r>
    </w:p>
    <w:p w14:paraId="6FE4784E" w14:textId="77777777" w:rsidR="007F6B01" w:rsidRPr="002B6402" w:rsidRDefault="007F6B01" w:rsidP="007F6B01">
      <w:pPr>
        <w:pStyle w:val="NormalDark"/>
        <w:ind w:left="720"/>
        <w:jc w:val="both"/>
        <w:rPr>
          <w:rFonts w:ascii="Arial" w:hAnsi="Arial" w:cs="Arial"/>
        </w:rPr>
      </w:pPr>
      <w:r w:rsidRPr="006E0A8C">
        <w:rPr>
          <w:rFonts w:ascii="Arial" w:hAnsi="Arial" w:cs="Arial"/>
        </w:rPr>
        <w:t>A quarterly IG report shall be presented to the IGG.</w:t>
      </w:r>
      <w:r w:rsidRPr="002B6402">
        <w:rPr>
          <w:rFonts w:ascii="Arial" w:hAnsi="Arial" w:cs="Arial"/>
        </w:rPr>
        <w:t xml:space="preserve"> </w:t>
      </w:r>
      <w:r>
        <w:rPr>
          <w:rFonts w:ascii="Arial" w:hAnsi="Arial" w:cs="Arial"/>
        </w:rPr>
        <w:t xml:space="preserve">Audit Committee </w:t>
      </w:r>
      <w:r w:rsidRPr="002B6402">
        <w:rPr>
          <w:rFonts w:ascii="Arial" w:hAnsi="Arial" w:cs="Arial"/>
        </w:rPr>
        <w:t xml:space="preserve">will receive </w:t>
      </w:r>
      <w:r>
        <w:rPr>
          <w:rFonts w:ascii="Arial" w:hAnsi="Arial" w:cs="Arial"/>
        </w:rPr>
        <w:t xml:space="preserve">minimum annual </w:t>
      </w:r>
      <w:r w:rsidRPr="002B6402">
        <w:rPr>
          <w:rFonts w:ascii="Arial" w:hAnsi="Arial" w:cs="Arial"/>
        </w:rPr>
        <w:t>updates on</w:t>
      </w:r>
      <w:r w:rsidRPr="002B6402">
        <w:rPr>
          <w:rFonts w:ascii="Arial" w:hAnsi="Arial" w:cs="Arial"/>
          <w:strike/>
        </w:rPr>
        <w:t xml:space="preserve"> </w:t>
      </w:r>
      <w:r>
        <w:rPr>
          <w:rFonts w:ascii="Arial" w:hAnsi="Arial" w:cs="Arial"/>
        </w:rPr>
        <w:t xml:space="preserve">progress, </w:t>
      </w:r>
      <w:r w:rsidRPr="002B6402">
        <w:rPr>
          <w:rFonts w:ascii="Arial" w:hAnsi="Arial" w:cs="Arial"/>
        </w:rPr>
        <w:t xml:space="preserve">information governance audits, training and toolkit evidence requirements, together with updates on any incidents that may have occurred. </w:t>
      </w:r>
    </w:p>
    <w:p w14:paraId="2AE833DC" w14:textId="77777777" w:rsidR="007F6B01" w:rsidRDefault="007F6B01" w:rsidP="007F6B01">
      <w:pPr>
        <w:pStyle w:val="NormalBody"/>
        <w:ind w:left="720"/>
        <w:jc w:val="both"/>
        <w:rPr>
          <w:rFonts w:ascii="Arial" w:hAnsi="Arial" w:cs="Arial"/>
          <w:color w:val="auto"/>
        </w:rPr>
      </w:pPr>
    </w:p>
    <w:p w14:paraId="291A4B93" w14:textId="77777777" w:rsidR="007F6B01" w:rsidRDefault="007F6B01" w:rsidP="007F6B01">
      <w:pPr>
        <w:pStyle w:val="NormalBody"/>
        <w:ind w:left="720"/>
        <w:jc w:val="both"/>
        <w:rPr>
          <w:rFonts w:ascii="Arial" w:hAnsi="Arial" w:cs="Arial"/>
          <w:color w:val="auto"/>
        </w:rPr>
      </w:pPr>
      <w:r w:rsidRPr="002B6402">
        <w:rPr>
          <w:rFonts w:ascii="Arial" w:hAnsi="Arial" w:cs="Arial"/>
          <w:color w:val="auto"/>
        </w:rPr>
        <w:lastRenderedPageBreak/>
        <w:t xml:space="preserve">The annual audit of information governance shall be reported to the </w:t>
      </w:r>
      <w:r>
        <w:rPr>
          <w:rFonts w:ascii="Arial" w:hAnsi="Arial" w:cs="Arial"/>
          <w:color w:val="auto"/>
        </w:rPr>
        <w:t xml:space="preserve">Audit Committee via IGG </w:t>
      </w:r>
      <w:r w:rsidRPr="002B6402">
        <w:rPr>
          <w:rFonts w:ascii="Arial" w:hAnsi="Arial" w:cs="Arial"/>
          <w:color w:val="auto"/>
        </w:rPr>
        <w:t>together with any recommendations identified and the associated improvement plans.</w:t>
      </w:r>
    </w:p>
    <w:p w14:paraId="69208077" w14:textId="77777777" w:rsidR="001563B1" w:rsidRDefault="001563B1" w:rsidP="007F6B01">
      <w:pPr>
        <w:ind w:left="720"/>
        <w:rPr>
          <w:rFonts w:cs="Arial"/>
          <w:szCs w:val="24"/>
        </w:rPr>
      </w:pPr>
    </w:p>
    <w:p w14:paraId="47206839" w14:textId="601A3999" w:rsidR="007F6B01" w:rsidRPr="00021BC2" w:rsidRDefault="007F6B01" w:rsidP="007F6B01">
      <w:pPr>
        <w:ind w:left="720"/>
      </w:pPr>
      <w:r w:rsidRPr="00B45F96">
        <w:rPr>
          <w:rFonts w:cs="Arial"/>
          <w:szCs w:val="24"/>
        </w:rPr>
        <w:t xml:space="preserve">Risks and issues will be identified where they may impact upon delivery of the IG </w:t>
      </w:r>
      <w:r>
        <w:rPr>
          <w:rFonts w:cs="Arial"/>
          <w:szCs w:val="24"/>
        </w:rPr>
        <w:t>improvement programme or the DSPT submission which will be monitored by the IGG.</w:t>
      </w:r>
    </w:p>
    <w:p w14:paraId="414B2BCC" w14:textId="77777777" w:rsidR="007F6B01" w:rsidRDefault="007F6B01" w:rsidP="007F6B01">
      <w:pPr>
        <w:widowControl w:val="0"/>
        <w:spacing w:line="240" w:lineRule="auto"/>
        <w:contextualSpacing/>
        <w:jc w:val="both"/>
        <w:rPr>
          <w:rFonts w:eastAsia="Times New Roman" w:cs="Arial"/>
          <w:szCs w:val="24"/>
          <w:highlight w:val="yellow"/>
        </w:rPr>
      </w:pPr>
    </w:p>
    <w:p w14:paraId="7BDC09D2" w14:textId="0FA04FC5" w:rsidR="007F6B01" w:rsidRPr="002B6402" w:rsidRDefault="001563B1" w:rsidP="007F6B01">
      <w:pPr>
        <w:widowControl w:val="0"/>
        <w:jc w:val="both"/>
        <w:rPr>
          <w:rFonts w:eastAsia="Times New Roman" w:cs="Arial"/>
          <w:b/>
          <w:color w:val="1C1F63" w:themeColor="accent3"/>
          <w:szCs w:val="24"/>
        </w:rPr>
      </w:pPr>
      <w:r>
        <w:rPr>
          <w:rFonts w:eastAsia="Times New Roman" w:cs="Arial"/>
          <w:b/>
          <w:color w:val="1C1F63" w:themeColor="accent3"/>
          <w:szCs w:val="24"/>
        </w:rPr>
        <w:t>4</w:t>
      </w:r>
      <w:r w:rsidR="007F6B01" w:rsidRPr="007A6116">
        <w:rPr>
          <w:rFonts w:eastAsia="Times New Roman" w:cs="Arial"/>
          <w:b/>
          <w:color w:val="1C1F63" w:themeColor="accent3"/>
          <w:szCs w:val="24"/>
        </w:rPr>
        <w:t>.9.</w:t>
      </w:r>
      <w:r w:rsidR="007F6B01" w:rsidRPr="007A6116">
        <w:rPr>
          <w:rFonts w:eastAsia="Times New Roman" w:cs="Arial"/>
          <w:b/>
          <w:color w:val="1C1F63" w:themeColor="accent3"/>
          <w:szCs w:val="24"/>
        </w:rPr>
        <w:tab/>
        <w:t>The BNSSG IAO/IAA Group</w:t>
      </w:r>
    </w:p>
    <w:p w14:paraId="4371BFE4" w14:textId="77777777" w:rsidR="007F6B01" w:rsidRPr="001563B1" w:rsidRDefault="007F6B01" w:rsidP="007F6B01">
      <w:pPr>
        <w:pStyle w:val="Head3"/>
        <w:ind w:left="720"/>
        <w:rPr>
          <w:b w:val="0"/>
          <w:color w:val="auto"/>
        </w:rPr>
      </w:pPr>
      <w:r w:rsidRPr="001563B1">
        <w:rPr>
          <w:b w:val="0"/>
          <w:color w:val="auto"/>
        </w:rPr>
        <w:t xml:space="preserve">The Information Asset Owners and Information Asset Administrators Group has been established to enable the IAO’s and </w:t>
      </w:r>
      <w:proofErr w:type="gramStart"/>
      <w:r w:rsidRPr="001563B1">
        <w:rPr>
          <w:b w:val="0"/>
          <w:color w:val="auto"/>
        </w:rPr>
        <w:t>IAA’s</w:t>
      </w:r>
      <w:proofErr w:type="gramEnd"/>
      <w:r w:rsidRPr="001563B1">
        <w:rPr>
          <w:b w:val="0"/>
          <w:color w:val="auto"/>
        </w:rPr>
        <w:t xml:space="preserve"> to receive vital information in order to assist in the implementation and assure compliance with the Information Governance (IG) agenda for the ICB.</w:t>
      </w:r>
    </w:p>
    <w:p w14:paraId="7DDB5861" w14:textId="77777777" w:rsidR="007F6B01" w:rsidRPr="001563B1" w:rsidRDefault="007F6B01" w:rsidP="007F6B01">
      <w:pPr>
        <w:pStyle w:val="Head3"/>
        <w:ind w:left="720"/>
        <w:rPr>
          <w:b w:val="0"/>
          <w:color w:val="auto"/>
        </w:rPr>
      </w:pPr>
      <w:r w:rsidRPr="001563B1">
        <w:rPr>
          <w:b w:val="0"/>
          <w:color w:val="auto"/>
        </w:rPr>
        <w:t>It is chaired by the SCW IG Consultant on behalf of the SIRO by SCW Information Governance Consultant and provides a forum to enable a pro-active environment for the exchange of information. It will provide a platform to debate and discuss areas of concern where difficulties are experienced requiring mitigation, and to exchange good practice.</w:t>
      </w:r>
    </w:p>
    <w:p w14:paraId="26941CA0" w14:textId="7B94F9C4" w:rsidR="00457619" w:rsidRPr="0098200F" w:rsidRDefault="00454535" w:rsidP="00457619">
      <w:pPr>
        <w:pStyle w:val="Heading2"/>
        <w:numPr>
          <w:ilvl w:val="0"/>
          <w:numId w:val="5"/>
        </w:numPr>
        <w:tabs>
          <w:tab w:val="num" w:pos="360"/>
          <w:tab w:val="left" w:pos="450"/>
        </w:tabs>
        <w:ind w:left="0" w:firstLine="0"/>
      </w:pPr>
      <w:bookmarkStart w:id="20" w:name="_Toc176865369"/>
      <w:r>
        <w:t>Definitions/explanations of terms used</w:t>
      </w:r>
      <w:bookmarkEnd w:id="20"/>
    </w:p>
    <w:p w14:paraId="7523E752" w14:textId="4F56C4CB" w:rsidR="007F6B01" w:rsidRDefault="007F6B01" w:rsidP="007F6B01">
      <w:pPr>
        <w:ind w:left="426"/>
        <w:jc w:val="both"/>
      </w:pPr>
      <w:proofErr w:type="gramStart"/>
      <w:r w:rsidRPr="009C39D3">
        <w:t>In order to</w:t>
      </w:r>
      <w:proofErr w:type="gramEnd"/>
      <w:r w:rsidRPr="009C39D3">
        <w:t xml:space="preserve"> assist staff with understanding their responsibilities under this </w:t>
      </w:r>
      <w:r>
        <w:t>framework</w:t>
      </w:r>
      <w:r w:rsidRPr="009C39D3">
        <w:t>,</w:t>
      </w:r>
      <w:r>
        <w:t xml:space="preserve"> </w:t>
      </w:r>
      <w:r w:rsidRPr="009C39D3">
        <w:t xml:space="preserve">the following types of information and their definitions are applicable in all </w:t>
      </w:r>
      <w:r>
        <w:t>ICB</w:t>
      </w:r>
      <w:r w:rsidRPr="009C39D3">
        <w:t xml:space="preserve"> policies and documents</w:t>
      </w:r>
      <w:r>
        <w:t>:</w:t>
      </w:r>
    </w:p>
    <w:tbl>
      <w:tblPr>
        <w:tblStyle w:val="TableGrid1"/>
        <w:tblpPr w:leftFromText="180" w:rightFromText="180" w:vertAnchor="text" w:horzAnchor="margin" w:tblpXSpec="center" w:tblpY="199"/>
        <w:tblW w:w="8230" w:type="dxa"/>
        <w:tblLook w:val="04A0" w:firstRow="1" w:lastRow="0" w:firstColumn="1" w:lastColumn="0" w:noHBand="0" w:noVBand="1"/>
      </w:tblPr>
      <w:tblGrid>
        <w:gridCol w:w="1791"/>
        <w:gridCol w:w="6439"/>
      </w:tblGrid>
      <w:tr w:rsidR="007F6B01" w:rsidRPr="009C39D3" w14:paraId="49A57E7A" w14:textId="77777777" w:rsidTr="001D6398">
        <w:tc>
          <w:tcPr>
            <w:tcW w:w="945" w:type="dxa"/>
          </w:tcPr>
          <w:p w14:paraId="7D6E26AD" w14:textId="77777777" w:rsidR="007F6B01" w:rsidRPr="00A97CF5" w:rsidRDefault="007F6B01" w:rsidP="001D6398">
            <w:pPr>
              <w:rPr>
                <w:rFonts w:cs="Arial"/>
                <w:b/>
              </w:rPr>
            </w:pPr>
            <w:r w:rsidRPr="00A97CF5">
              <w:rPr>
                <w:rFonts w:cs="Arial"/>
                <w:b/>
              </w:rPr>
              <w:t>Personal Data</w:t>
            </w:r>
          </w:p>
          <w:p w14:paraId="05CEBEA7" w14:textId="77777777" w:rsidR="007F6B01" w:rsidRPr="00A97CF5" w:rsidRDefault="007F6B01" w:rsidP="001D6398">
            <w:pPr>
              <w:rPr>
                <w:rFonts w:cs="Arial"/>
              </w:rPr>
            </w:pPr>
            <w:r w:rsidRPr="00A97CF5">
              <w:rPr>
                <w:rFonts w:cs="Arial"/>
              </w:rPr>
              <w:t xml:space="preserve">(derived from the </w:t>
            </w:r>
            <w:r>
              <w:rPr>
                <w:rFonts w:cs="Arial"/>
              </w:rPr>
              <w:t xml:space="preserve">UK </w:t>
            </w:r>
            <w:r w:rsidRPr="00A97CF5">
              <w:rPr>
                <w:rFonts w:cs="Arial"/>
              </w:rPr>
              <w:t>GDPR)</w:t>
            </w:r>
          </w:p>
          <w:p w14:paraId="6774AD42" w14:textId="77777777" w:rsidR="007F6B01" w:rsidRPr="00A97CF5" w:rsidRDefault="007F6B01" w:rsidP="001D6398">
            <w:pPr>
              <w:rPr>
                <w:rFonts w:cs="Arial"/>
                <w:b/>
                <w:u w:val="single"/>
              </w:rPr>
            </w:pPr>
          </w:p>
        </w:tc>
        <w:tc>
          <w:tcPr>
            <w:tcW w:w="7285" w:type="dxa"/>
          </w:tcPr>
          <w:p w14:paraId="0227BDB5" w14:textId="77777777" w:rsidR="007F6B01" w:rsidRPr="00A97CF5" w:rsidRDefault="007F6B01" w:rsidP="001D6398">
            <w:pPr>
              <w:rPr>
                <w:rFonts w:cs="Arial"/>
              </w:rPr>
            </w:pPr>
            <w:r w:rsidRPr="00A97CF5">
              <w:rPr>
                <w:rFonts w:cs="Arial"/>
              </w:rPr>
              <w:t>Any information relating to an identified or identifiable natural person (‘data subject’</w:t>
            </w:r>
            <w:proofErr w:type="gramStart"/>
            <w:r w:rsidRPr="00A97CF5">
              <w:rPr>
                <w:rFonts w:cs="Arial"/>
              </w:rPr>
              <w:t>);  an</w:t>
            </w:r>
            <w:proofErr w:type="gramEnd"/>
            <w:r w:rsidRPr="00A97CF5">
              <w:rPr>
                <w:rFonts w:cs="Arial"/>
              </w:rPr>
              <w:t xml:space="preserve"> identifiable natural person is one who can be identified, directly or indirectly, in particular by reference to an identifier such as a name, an identification number, location data, an online identifier or to one or more factors specific to the physical, physiological, genetic, mental, economic, cultural or social identity of that natural person</w:t>
            </w:r>
          </w:p>
        </w:tc>
      </w:tr>
      <w:tr w:rsidR="007F6B01" w:rsidRPr="009C39D3" w14:paraId="6DCABB3C" w14:textId="77777777" w:rsidTr="001D6398">
        <w:tc>
          <w:tcPr>
            <w:tcW w:w="945" w:type="dxa"/>
          </w:tcPr>
          <w:p w14:paraId="6CF1F13A" w14:textId="77777777" w:rsidR="007F6B01" w:rsidRPr="00A97CF5" w:rsidRDefault="007F6B01" w:rsidP="001D6398">
            <w:pPr>
              <w:rPr>
                <w:rFonts w:cs="Arial"/>
                <w:b/>
              </w:rPr>
            </w:pPr>
            <w:r w:rsidRPr="00A97CF5">
              <w:rPr>
                <w:rFonts w:cs="Arial"/>
                <w:b/>
              </w:rPr>
              <w:t>‘Special Categories’ of Personal Data</w:t>
            </w:r>
          </w:p>
          <w:p w14:paraId="18C025EC" w14:textId="77777777" w:rsidR="007F6B01" w:rsidRPr="00A97CF5" w:rsidRDefault="007F6B01" w:rsidP="001D6398">
            <w:pPr>
              <w:rPr>
                <w:rFonts w:cs="Arial"/>
              </w:rPr>
            </w:pPr>
            <w:r w:rsidRPr="00A97CF5">
              <w:rPr>
                <w:rFonts w:cs="Arial"/>
              </w:rPr>
              <w:t xml:space="preserve">(derived from the </w:t>
            </w:r>
            <w:r>
              <w:rPr>
                <w:rFonts w:cs="Arial"/>
              </w:rPr>
              <w:t xml:space="preserve">UK </w:t>
            </w:r>
            <w:r w:rsidRPr="00A97CF5">
              <w:rPr>
                <w:rFonts w:cs="Arial"/>
              </w:rPr>
              <w:t>GDPR)</w:t>
            </w:r>
          </w:p>
          <w:p w14:paraId="1E7B9F49" w14:textId="77777777" w:rsidR="007F6B01" w:rsidRPr="00A97CF5" w:rsidRDefault="007F6B01" w:rsidP="001D6398">
            <w:pPr>
              <w:rPr>
                <w:rFonts w:cs="Arial"/>
              </w:rPr>
            </w:pPr>
          </w:p>
        </w:tc>
        <w:tc>
          <w:tcPr>
            <w:tcW w:w="7285" w:type="dxa"/>
          </w:tcPr>
          <w:p w14:paraId="079A711D" w14:textId="77777777" w:rsidR="007F6B01" w:rsidRPr="00A97CF5" w:rsidRDefault="007F6B01" w:rsidP="001D6398">
            <w:pPr>
              <w:rPr>
                <w:rFonts w:cs="Arial"/>
              </w:rPr>
            </w:pPr>
            <w:r w:rsidRPr="00A97CF5">
              <w:rPr>
                <w:rFonts w:cs="Arial"/>
              </w:rPr>
              <w:t xml:space="preserve"> ‘Special Categories’ of Personal Data is different from Personal Data and consists of information relating to:</w:t>
            </w:r>
          </w:p>
          <w:p w14:paraId="4AF224D9" w14:textId="77777777" w:rsidR="007F6B01" w:rsidRPr="00A97CF5" w:rsidRDefault="007F6B01" w:rsidP="007F6B01">
            <w:pPr>
              <w:numPr>
                <w:ilvl w:val="0"/>
                <w:numId w:val="10"/>
              </w:numPr>
              <w:rPr>
                <w:rFonts w:cs="Arial"/>
              </w:rPr>
            </w:pPr>
            <w:r w:rsidRPr="00A97CF5">
              <w:rPr>
                <w:rFonts w:cs="Arial"/>
              </w:rPr>
              <w:t>The racial or ethnic origin of the data subject</w:t>
            </w:r>
          </w:p>
          <w:p w14:paraId="467C8554" w14:textId="77777777" w:rsidR="007F6B01" w:rsidRPr="00A97CF5" w:rsidRDefault="007F6B01" w:rsidP="007F6B01">
            <w:pPr>
              <w:numPr>
                <w:ilvl w:val="0"/>
                <w:numId w:val="10"/>
              </w:numPr>
              <w:contextualSpacing/>
              <w:rPr>
                <w:rFonts w:cs="Arial"/>
              </w:rPr>
            </w:pPr>
            <w:r w:rsidRPr="00A97CF5">
              <w:rPr>
                <w:rFonts w:cs="Arial"/>
              </w:rPr>
              <w:t>Their political opinions</w:t>
            </w:r>
          </w:p>
          <w:p w14:paraId="3213C1F5" w14:textId="77777777" w:rsidR="007F6B01" w:rsidRPr="00A97CF5" w:rsidRDefault="007F6B01" w:rsidP="007F6B01">
            <w:pPr>
              <w:numPr>
                <w:ilvl w:val="0"/>
                <w:numId w:val="10"/>
              </w:numPr>
              <w:contextualSpacing/>
              <w:rPr>
                <w:rFonts w:cs="Arial"/>
              </w:rPr>
            </w:pPr>
            <w:r w:rsidRPr="00A97CF5">
              <w:rPr>
                <w:rFonts w:cs="Arial"/>
              </w:rPr>
              <w:t>Their religious beliefs or other beliefs of a similar nature</w:t>
            </w:r>
          </w:p>
          <w:p w14:paraId="3B0490B2" w14:textId="77777777" w:rsidR="007F6B01" w:rsidRPr="00A97CF5" w:rsidRDefault="007F6B01" w:rsidP="007F6B01">
            <w:pPr>
              <w:numPr>
                <w:ilvl w:val="0"/>
                <w:numId w:val="10"/>
              </w:numPr>
              <w:contextualSpacing/>
              <w:rPr>
                <w:rFonts w:cs="Arial"/>
              </w:rPr>
            </w:pPr>
            <w:r w:rsidRPr="00A97CF5">
              <w:rPr>
                <w:rFonts w:cs="Arial"/>
              </w:rPr>
              <w:t>Whether a member of a trade union (within the meaning of the Trade Union and Labour Relations (Consolidation) Act 1998</w:t>
            </w:r>
          </w:p>
          <w:p w14:paraId="392FDB73" w14:textId="77777777" w:rsidR="007F6B01" w:rsidRPr="00A97CF5" w:rsidRDefault="007F6B01" w:rsidP="007F6B01">
            <w:pPr>
              <w:numPr>
                <w:ilvl w:val="0"/>
                <w:numId w:val="10"/>
              </w:numPr>
              <w:contextualSpacing/>
              <w:rPr>
                <w:rFonts w:cs="Arial"/>
              </w:rPr>
            </w:pPr>
            <w:r w:rsidRPr="00A97CF5">
              <w:rPr>
                <w:rFonts w:cs="Arial"/>
              </w:rPr>
              <w:t>Genetic data</w:t>
            </w:r>
          </w:p>
          <w:p w14:paraId="7C029BFF" w14:textId="77777777" w:rsidR="007F6B01" w:rsidRPr="00A97CF5" w:rsidRDefault="007F6B01" w:rsidP="007F6B01">
            <w:pPr>
              <w:numPr>
                <w:ilvl w:val="0"/>
                <w:numId w:val="10"/>
              </w:numPr>
              <w:contextualSpacing/>
              <w:rPr>
                <w:rFonts w:cs="Arial"/>
              </w:rPr>
            </w:pPr>
            <w:r w:rsidRPr="00A97CF5">
              <w:rPr>
                <w:rFonts w:cs="Arial"/>
              </w:rPr>
              <w:lastRenderedPageBreak/>
              <w:t>Biometric data for the purpose of uniquely identifying a natural person</w:t>
            </w:r>
          </w:p>
          <w:p w14:paraId="0B2781F2" w14:textId="77777777" w:rsidR="007F6B01" w:rsidRPr="00A97CF5" w:rsidRDefault="007F6B01" w:rsidP="007F6B01">
            <w:pPr>
              <w:numPr>
                <w:ilvl w:val="0"/>
                <w:numId w:val="10"/>
              </w:numPr>
              <w:contextualSpacing/>
              <w:rPr>
                <w:rFonts w:cs="Arial"/>
              </w:rPr>
            </w:pPr>
            <w:r w:rsidRPr="00A97CF5">
              <w:rPr>
                <w:rFonts w:cs="Arial"/>
              </w:rPr>
              <w:t>Their physical or mental health or condition</w:t>
            </w:r>
          </w:p>
          <w:p w14:paraId="05B0E195" w14:textId="77777777" w:rsidR="007F6B01" w:rsidRPr="00A97CF5" w:rsidRDefault="007F6B01" w:rsidP="007F6B01">
            <w:pPr>
              <w:numPr>
                <w:ilvl w:val="0"/>
                <w:numId w:val="10"/>
              </w:numPr>
              <w:contextualSpacing/>
              <w:rPr>
                <w:rFonts w:cs="Arial"/>
              </w:rPr>
            </w:pPr>
            <w:r w:rsidRPr="00A97CF5">
              <w:rPr>
                <w:rFonts w:cs="Arial"/>
              </w:rPr>
              <w:t>Their sexual life</w:t>
            </w:r>
          </w:p>
        </w:tc>
      </w:tr>
      <w:tr w:rsidR="007F6B01" w:rsidRPr="009C39D3" w14:paraId="183CE128" w14:textId="77777777" w:rsidTr="001D6398">
        <w:tc>
          <w:tcPr>
            <w:tcW w:w="945" w:type="dxa"/>
          </w:tcPr>
          <w:p w14:paraId="157DF026" w14:textId="77777777" w:rsidR="007F6B01" w:rsidRPr="00A97CF5" w:rsidRDefault="007F6B01" w:rsidP="001D6398">
            <w:pPr>
              <w:rPr>
                <w:rFonts w:cs="Arial"/>
                <w:b/>
              </w:rPr>
            </w:pPr>
            <w:r w:rsidRPr="00A97CF5">
              <w:rPr>
                <w:rFonts w:cs="Arial"/>
                <w:b/>
              </w:rPr>
              <w:lastRenderedPageBreak/>
              <w:t>Personal Confidential Data</w:t>
            </w:r>
          </w:p>
        </w:tc>
        <w:tc>
          <w:tcPr>
            <w:tcW w:w="7285" w:type="dxa"/>
          </w:tcPr>
          <w:p w14:paraId="1B72A551" w14:textId="77777777" w:rsidR="007F6B01" w:rsidRPr="00A97CF5" w:rsidRDefault="007F6B01" w:rsidP="001D6398">
            <w:pPr>
              <w:rPr>
                <w:rFonts w:cs="Arial"/>
              </w:rPr>
            </w:pPr>
            <w:r w:rsidRPr="00A97CF5">
              <w:rPr>
                <w:rFonts w:cs="Arial"/>
              </w:rPr>
              <w:t>Personal and Special Categories of Personal Data owed a duty of confidentiality (under the common law).  This term describes personal information about identified or identifiable individuals, which should be kept private or secret.  The definition includes dead as well as living people and ‘confidential’ includes information ‘given in confidence’ and ‘that which is owed a duty of confidence’.  The term is used in the Caldicott 2 Review: Information: to share or not to share (published March 2013).</w:t>
            </w:r>
          </w:p>
        </w:tc>
      </w:tr>
      <w:tr w:rsidR="007F6B01" w:rsidRPr="009C39D3" w14:paraId="3A642F98" w14:textId="77777777" w:rsidTr="001D6398">
        <w:tc>
          <w:tcPr>
            <w:tcW w:w="945" w:type="dxa"/>
          </w:tcPr>
          <w:p w14:paraId="72966F01" w14:textId="77777777" w:rsidR="007F6B01" w:rsidRPr="00A97CF5" w:rsidRDefault="007F6B01" w:rsidP="001D6398">
            <w:pPr>
              <w:rPr>
                <w:rFonts w:cs="Arial"/>
                <w:b/>
              </w:rPr>
            </w:pPr>
            <w:r w:rsidRPr="00A97CF5">
              <w:rPr>
                <w:rFonts w:cs="Arial"/>
                <w:b/>
              </w:rPr>
              <w:t>Commercially confidential Information</w:t>
            </w:r>
          </w:p>
        </w:tc>
        <w:tc>
          <w:tcPr>
            <w:tcW w:w="7285" w:type="dxa"/>
          </w:tcPr>
          <w:p w14:paraId="102D7167" w14:textId="77777777" w:rsidR="007F6B01" w:rsidRPr="00A97CF5" w:rsidRDefault="007F6B01" w:rsidP="001D6398">
            <w:pPr>
              <w:rPr>
                <w:rFonts w:cs="Arial"/>
              </w:rPr>
            </w:pPr>
            <w:r w:rsidRPr="00A97CF5">
              <w:rPr>
                <w:rFonts w:cs="Arial"/>
              </w:rPr>
              <w:t>Business/Commercial information, including that subject to statutory or regulatory obligations, which may be damaging to SCW CSU or a commercial partner if improperly accessed or shared.  Also as defined in the Freedom of Information Act 2000 and the Environmental Information Regulations</w:t>
            </w:r>
            <w:r>
              <w:rPr>
                <w:rFonts w:cs="Arial"/>
              </w:rPr>
              <w:t xml:space="preserve"> 2004</w:t>
            </w:r>
            <w:r w:rsidRPr="00A97CF5">
              <w:rPr>
                <w:rFonts w:cs="Arial"/>
              </w:rPr>
              <w:t>.</w:t>
            </w:r>
          </w:p>
        </w:tc>
      </w:tr>
    </w:tbl>
    <w:p w14:paraId="3082B662" w14:textId="77777777" w:rsidR="007F6B01" w:rsidRPr="009C39D3" w:rsidRDefault="007F6B01" w:rsidP="007F6B01">
      <w:pPr>
        <w:jc w:val="both"/>
      </w:pPr>
    </w:p>
    <w:p w14:paraId="4D7C7509" w14:textId="6E126A45" w:rsidR="00457619" w:rsidRDefault="00457619" w:rsidP="00457619">
      <w:pPr>
        <w:spacing w:after="500"/>
      </w:pPr>
    </w:p>
    <w:p w14:paraId="4CF70DAF" w14:textId="77777777" w:rsidR="001563B1" w:rsidRDefault="001563B1" w:rsidP="00457619">
      <w:pPr>
        <w:spacing w:after="500"/>
      </w:pPr>
    </w:p>
    <w:p w14:paraId="491202EF" w14:textId="77777777" w:rsidR="001563B1" w:rsidRDefault="001563B1" w:rsidP="00457619">
      <w:pPr>
        <w:spacing w:after="500"/>
      </w:pPr>
    </w:p>
    <w:p w14:paraId="77024833" w14:textId="77777777" w:rsidR="001563B1" w:rsidRDefault="001563B1" w:rsidP="00457619">
      <w:pPr>
        <w:spacing w:after="500"/>
      </w:pPr>
    </w:p>
    <w:p w14:paraId="10229DE0" w14:textId="77777777" w:rsidR="001563B1" w:rsidRDefault="001563B1" w:rsidP="00457619">
      <w:pPr>
        <w:spacing w:after="500"/>
      </w:pPr>
    </w:p>
    <w:p w14:paraId="395B9B29" w14:textId="77777777" w:rsidR="001563B1" w:rsidRDefault="001563B1" w:rsidP="00457619">
      <w:pPr>
        <w:spacing w:after="500"/>
      </w:pPr>
    </w:p>
    <w:p w14:paraId="47DFCA27" w14:textId="77777777" w:rsidR="001563B1" w:rsidRDefault="001563B1" w:rsidP="00457619">
      <w:pPr>
        <w:spacing w:after="500"/>
      </w:pPr>
    </w:p>
    <w:p w14:paraId="3ADFABB1" w14:textId="25F5BE03" w:rsidR="00454535" w:rsidRPr="0098200F" w:rsidRDefault="001563B1" w:rsidP="00454535">
      <w:pPr>
        <w:pStyle w:val="Heading2"/>
        <w:numPr>
          <w:ilvl w:val="0"/>
          <w:numId w:val="5"/>
        </w:numPr>
        <w:tabs>
          <w:tab w:val="num" w:pos="360"/>
          <w:tab w:val="left" w:pos="450"/>
        </w:tabs>
        <w:ind w:left="0" w:firstLine="0"/>
      </w:pPr>
      <w:bookmarkStart w:id="21" w:name="_Toc176865370"/>
      <w:r>
        <w:t>Information Governance Principles</w:t>
      </w:r>
      <w:bookmarkEnd w:id="21"/>
      <w:r>
        <w:t xml:space="preserve"> </w:t>
      </w:r>
    </w:p>
    <w:p w14:paraId="3BC75F65" w14:textId="77777777" w:rsidR="007F6B01" w:rsidRPr="00257A88" w:rsidRDefault="007F6B01" w:rsidP="007F6B01">
      <w:pPr>
        <w:ind w:left="360"/>
        <w:jc w:val="both"/>
        <w:rPr>
          <w:rFonts w:eastAsia="Times New Roman" w:cs="Arial"/>
          <w:bCs/>
          <w:szCs w:val="24"/>
        </w:rPr>
      </w:pPr>
      <w:bookmarkStart w:id="22" w:name="_Toc508611233"/>
      <w:r w:rsidRPr="00257A88">
        <w:rPr>
          <w:rFonts w:eastAsia="Times New Roman" w:cs="Arial"/>
          <w:szCs w:val="24"/>
        </w:rPr>
        <w:t>Implementation of robust information governance arrangements will deliver improvements in information handling by following the Department of Health standards (known as the ‘HORUS’ model), these standards require that information will be:</w:t>
      </w:r>
    </w:p>
    <w:p w14:paraId="1CD93C29" w14:textId="77777777" w:rsidR="007F6B01" w:rsidRPr="00257A88" w:rsidRDefault="007F6B01" w:rsidP="007F6B01">
      <w:pPr>
        <w:widowControl w:val="0"/>
        <w:ind w:left="360" w:firstLine="567"/>
        <w:jc w:val="both"/>
        <w:rPr>
          <w:rFonts w:eastAsia="Times New Roman" w:cs="Arial"/>
          <w:b/>
          <w:szCs w:val="24"/>
        </w:rPr>
      </w:pPr>
      <w:r w:rsidRPr="00257A88">
        <w:rPr>
          <w:rFonts w:eastAsia="Times New Roman" w:cs="Arial"/>
          <w:b/>
          <w:szCs w:val="24"/>
        </w:rPr>
        <w:t>H</w:t>
      </w:r>
      <w:r w:rsidRPr="00257A88">
        <w:rPr>
          <w:rFonts w:eastAsia="Times New Roman" w:cs="Arial"/>
          <w:szCs w:val="24"/>
        </w:rPr>
        <w:t>eld securely and confidentially</w:t>
      </w:r>
    </w:p>
    <w:p w14:paraId="54E5A5CB" w14:textId="77777777" w:rsidR="007F6B01" w:rsidRPr="00257A88" w:rsidRDefault="007F6B01" w:rsidP="007F6B01">
      <w:pPr>
        <w:widowControl w:val="0"/>
        <w:ind w:left="360" w:firstLine="567"/>
        <w:jc w:val="both"/>
        <w:rPr>
          <w:rFonts w:eastAsia="Times New Roman" w:cs="Arial"/>
          <w:b/>
          <w:szCs w:val="24"/>
        </w:rPr>
      </w:pPr>
      <w:r w:rsidRPr="00257A88">
        <w:rPr>
          <w:rFonts w:eastAsia="Times New Roman" w:cs="Arial"/>
          <w:b/>
          <w:szCs w:val="24"/>
        </w:rPr>
        <w:t>O</w:t>
      </w:r>
      <w:r w:rsidRPr="00257A88">
        <w:rPr>
          <w:rFonts w:eastAsia="Times New Roman" w:cs="Arial"/>
          <w:szCs w:val="24"/>
        </w:rPr>
        <w:t>btained fairly and efficiently</w:t>
      </w:r>
    </w:p>
    <w:p w14:paraId="09163FBB" w14:textId="77777777" w:rsidR="007F6B01" w:rsidRPr="00257A88" w:rsidRDefault="007F6B01" w:rsidP="007F6B01">
      <w:pPr>
        <w:widowControl w:val="0"/>
        <w:ind w:left="360" w:firstLine="567"/>
        <w:jc w:val="both"/>
        <w:rPr>
          <w:rFonts w:eastAsia="Times New Roman" w:cs="Arial"/>
          <w:b/>
          <w:szCs w:val="24"/>
        </w:rPr>
      </w:pPr>
      <w:r w:rsidRPr="00257A88">
        <w:rPr>
          <w:rFonts w:eastAsia="Times New Roman" w:cs="Arial"/>
          <w:b/>
          <w:szCs w:val="24"/>
        </w:rPr>
        <w:t>R</w:t>
      </w:r>
      <w:r w:rsidRPr="00257A88">
        <w:rPr>
          <w:rFonts w:eastAsia="Times New Roman" w:cs="Arial"/>
          <w:szCs w:val="24"/>
        </w:rPr>
        <w:t>ecorded accurately and reliably</w:t>
      </w:r>
    </w:p>
    <w:p w14:paraId="35979A63" w14:textId="77777777" w:rsidR="007F6B01" w:rsidRPr="00257A88" w:rsidRDefault="007F6B01" w:rsidP="007F6B01">
      <w:pPr>
        <w:widowControl w:val="0"/>
        <w:ind w:left="360" w:firstLine="567"/>
        <w:jc w:val="both"/>
        <w:rPr>
          <w:rFonts w:eastAsia="Times New Roman" w:cs="Arial"/>
          <w:b/>
          <w:szCs w:val="24"/>
        </w:rPr>
      </w:pPr>
      <w:r w:rsidRPr="00257A88">
        <w:rPr>
          <w:rFonts w:eastAsia="Times New Roman" w:cs="Arial"/>
          <w:b/>
          <w:szCs w:val="24"/>
        </w:rPr>
        <w:t>U</w:t>
      </w:r>
      <w:r w:rsidRPr="00257A88">
        <w:rPr>
          <w:rFonts w:eastAsia="Times New Roman" w:cs="Arial"/>
          <w:szCs w:val="24"/>
        </w:rPr>
        <w:t>sed effectively and ethically</w:t>
      </w:r>
    </w:p>
    <w:p w14:paraId="140A9D50" w14:textId="77777777" w:rsidR="007F6B01" w:rsidRPr="00257A88" w:rsidRDefault="007F6B01" w:rsidP="007F6B01">
      <w:pPr>
        <w:widowControl w:val="0"/>
        <w:ind w:left="360" w:firstLine="567"/>
        <w:jc w:val="both"/>
        <w:rPr>
          <w:rFonts w:eastAsia="Times New Roman" w:cs="Arial"/>
          <w:szCs w:val="24"/>
        </w:rPr>
      </w:pPr>
      <w:r w:rsidRPr="00257A88">
        <w:rPr>
          <w:rFonts w:eastAsia="Times New Roman" w:cs="Arial"/>
          <w:b/>
          <w:szCs w:val="24"/>
        </w:rPr>
        <w:t>S</w:t>
      </w:r>
      <w:r w:rsidRPr="00257A88">
        <w:rPr>
          <w:rFonts w:eastAsia="Times New Roman" w:cs="Arial"/>
          <w:szCs w:val="24"/>
        </w:rPr>
        <w:t>hared appropriately and lawfully</w:t>
      </w:r>
    </w:p>
    <w:p w14:paraId="51D3DC2D" w14:textId="77777777" w:rsidR="007F6B01" w:rsidRPr="00257A88" w:rsidRDefault="007F6B01" w:rsidP="007F6B01">
      <w:pPr>
        <w:widowControl w:val="0"/>
        <w:ind w:left="360"/>
        <w:jc w:val="both"/>
        <w:rPr>
          <w:rFonts w:eastAsia="Times New Roman" w:cs="Arial"/>
          <w:szCs w:val="24"/>
        </w:rPr>
      </w:pPr>
      <w:r w:rsidRPr="00257A88">
        <w:rPr>
          <w:rFonts w:eastAsia="Times New Roman" w:cs="Arial"/>
          <w:szCs w:val="24"/>
        </w:rPr>
        <w:t>Information governance provide</w:t>
      </w:r>
      <w:r>
        <w:rPr>
          <w:rFonts w:eastAsia="Times New Roman" w:cs="Arial"/>
          <w:szCs w:val="24"/>
        </w:rPr>
        <w:t>s</w:t>
      </w:r>
      <w:r w:rsidRPr="00257A88">
        <w:rPr>
          <w:rFonts w:eastAsia="Times New Roman" w:cs="Arial"/>
          <w:szCs w:val="24"/>
        </w:rPr>
        <w:t xml:space="preserve"> consistency and best practice for the many different information handling </w:t>
      </w:r>
      <w:r>
        <w:rPr>
          <w:rFonts w:eastAsia="Times New Roman" w:cs="Arial"/>
          <w:szCs w:val="24"/>
        </w:rPr>
        <w:t xml:space="preserve">activities.  </w:t>
      </w:r>
      <w:r w:rsidRPr="00257A88">
        <w:rPr>
          <w:rFonts w:eastAsia="Times New Roman" w:cs="Arial"/>
          <w:szCs w:val="24"/>
        </w:rPr>
        <w:t>These principles are equally supported by the Caldicott Principles which have been subsumed into the NHS Code of Confidentiality.</w:t>
      </w:r>
    </w:p>
    <w:p w14:paraId="272CAF9C" w14:textId="77777777" w:rsidR="007F6B01" w:rsidRPr="00257A88" w:rsidRDefault="007F6B01" w:rsidP="007F6B01">
      <w:pPr>
        <w:widowControl w:val="0"/>
        <w:spacing w:after="120"/>
        <w:ind w:left="360"/>
        <w:jc w:val="both"/>
        <w:rPr>
          <w:rFonts w:eastAsia="Times New Roman" w:cs="Arial"/>
          <w:szCs w:val="24"/>
        </w:rPr>
      </w:pPr>
      <w:r w:rsidRPr="00257A88">
        <w:rPr>
          <w:rFonts w:eastAsia="Times New Roman" w:cs="Arial"/>
          <w:szCs w:val="24"/>
        </w:rPr>
        <w:t xml:space="preserve">There are five interlinked principles, which </w:t>
      </w:r>
      <w:r>
        <w:rPr>
          <w:rFonts w:eastAsia="Times New Roman" w:cs="Arial"/>
          <w:szCs w:val="24"/>
        </w:rPr>
        <w:t>serve to guide these information governance responsibilities</w:t>
      </w:r>
      <w:r w:rsidRPr="00257A88">
        <w:rPr>
          <w:rFonts w:eastAsia="Times New Roman" w:cs="Arial"/>
          <w:szCs w:val="24"/>
        </w:rPr>
        <w:t>:</w:t>
      </w:r>
    </w:p>
    <w:p w14:paraId="7859C437" w14:textId="77777777" w:rsidR="007F6B01" w:rsidRPr="00257A88" w:rsidRDefault="007F6B01" w:rsidP="007F6B01">
      <w:pPr>
        <w:widowControl w:val="0"/>
        <w:numPr>
          <w:ilvl w:val="0"/>
          <w:numId w:val="12"/>
        </w:numPr>
        <w:spacing w:after="120" w:line="240" w:lineRule="auto"/>
        <w:jc w:val="both"/>
        <w:rPr>
          <w:rFonts w:eastAsia="Times New Roman" w:cs="Arial"/>
          <w:szCs w:val="24"/>
        </w:rPr>
      </w:pPr>
      <w:r w:rsidRPr="00257A88">
        <w:rPr>
          <w:rFonts w:eastAsia="Times New Roman" w:cs="Arial"/>
          <w:szCs w:val="24"/>
        </w:rPr>
        <w:t>Openness</w:t>
      </w:r>
    </w:p>
    <w:p w14:paraId="26C97C4D" w14:textId="77777777" w:rsidR="007F6B01" w:rsidRPr="00257A88" w:rsidRDefault="007F6B01" w:rsidP="007F6B01">
      <w:pPr>
        <w:widowControl w:val="0"/>
        <w:numPr>
          <w:ilvl w:val="0"/>
          <w:numId w:val="12"/>
        </w:numPr>
        <w:spacing w:after="120" w:line="240" w:lineRule="auto"/>
        <w:jc w:val="both"/>
        <w:rPr>
          <w:rFonts w:eastAsia="Times New Roman" w:cs="Arial"/>
          <w:szCs w:val="24"/>
        </w:rPr>
      </w:pPr>
      <w:r w:rsidRPr="00257A88">
        <w:rPr>
          <w:rFonts w:eastAsia="Times New Roman" w:cs="Arial"/>
          <w:szCs w:val="24"/>
        </w:rPr>
        <w:t>Legal compliance</w:t>
      </w:r>
    </w:p>
    <w:p w14:paraId="1AB25571" w14:textId="77777777" w:rsidR="007F6B01" w:rsidRPr="00257A88" w:rsidRDefault="007F6B01" w:rsidP="007F6B01">
      <w:pPr>
        <w:widowControl w:val="0"/>
        <w:numPr>
          <w:ilvl w:val="0"/>
          <w:numId w:val="12"/>
        </w:numPr>
        <w:spacing w:after="120" w:line="240" w:lineRule="auto"/>
        <w:jc w:val="both"/>
        <w:rPr>
          <w:rFonts w:eastAsia="Times New Roman" w:cs="Arial"/>
          <w:szCs w:val="24"/>
        </w:rPr>
      </w:pPr>
      <w:r w:rsidRPr="00257A88">
        <w:rPr>
          <w:rFonts w:eastAsia="Times New Roman" w:cs="Arial"/>
          <w:szCs w:val="24"/>
        </w:rPr>
        <w:t>Information security</w:t>
      </w:r>
    </w:p>
    <w:p w14:paraId="46847DC2" w14:textId="77777777" w:rsidR="007F6B01" w:rsidRPr="00257A88" w:rsidRDefault="007F6B01" w:rsidP="007F6B01">
      <w:pPr>
        <w:widowControl w:val="0"/>
        <w:numPr>
          <w:ilvl w:val="0"/>
          <w:numId w:val="12"/>
        </w:numPr>
        <w:spacing w:after="120" w:line="240" w:lineRule="auto"/>
        <w:jc w:val="both"/>
        <w:rPr>
          <w:rFonts w:eastAsia="Times New Roman" w:cs="Arial"/>
          <w:szCs w:val="24"/>
        </w:rPr>
      </w:pPr>
      <w:r w:rsidRPr="00257A88">
        <w:rPr>
          <w:rFonts w:eastAsia="Times New Roman" w:cs="Arial"/>
          <w:szCs w:val="24"/>
        </w:rPr>
        <w:t>Quality assurance</w:t>
      </w:r>
    </w:p>
    <w:p w14:paraId="63D94DAC" w14:textId="77777777" w:rsidR="007F6B01" w:rsidRPr="002B6402" w:rsidRDefault="007F6B01" w:rsidP="007F6B01">
      <w:pPr>
        <w:widowControl w:val="0"/>
        <w:numPr>
          <w:ilvl w:val="0"/>
          <w:numId w:val="12"/>
        </w:numPr>
        <w:spacing w:after="0" w:line="240" w:lineRule="auto"/>
        <w:jc w:val="both"/>
        <w:rPr>
          <w:rFonts w:eastAsia="Times New Roman" w:cs="Arial"/>
          <w:b/>
          <w:szCs w:val="24"/>
        </w:rPr>
      </w:pPr>
      <w:r w:rsidRPr="00257A88">
        <w:rPr>
          <w:rFonts w:eastAsia="Times New Roman" w:cs="Arial"/>
          <w:szCs w:val="24"/>
        </w:rPr>
        <w:lastRenderedPageBreak/>
        <w:t>Proactive use of information</w:t>
      </w:r>
    </w:p>
    <w:p w14:paraId="761B5109" w14:textId="18C85EDA" w:rsidR="00AB3198" w:rsidRPr="0098200F" w:rsidRDefault="00AB3198" w:rsidP="00AB3198">
      <w:pPr>
        <w:pStyle w:val="Heading2"/>
        <w:numPr>
          <w:ilvl w:val="0"/>
          <w:numId w:val="5"/>
        </w:numPr>
        <w:tabs>
          <w:tab w:val="num" w:pos="360"/>
          <w:tab w:val="left" w:pos="450"/>
        </w:tabs>
        <w:ind w:left="0" w:firstLine="0"/>
      </w:pPr>
      <w:bookmarkStart w:id="23" w:name="_Toc508611234"/>
      <w:bookmarkStart w:id="24" w:name="_Toc176865371"/>
      <w:bookmarkEnd w:id="22"/>
      <w:r w:rsidRPr="0098200F">
        <w:t>Training requirements</w:t>
      </w:r>
      <w:bookmarkEnd w:id="23"/>
      <w:bookmarkEnd w:id="24"/>
    </w:p>
    <w:p w14:paraId="1BA22C54" w14:textId="0E300BFC" w:rsidR="007F6B01" w:rsidRDefault="007F6B01" w:rsidP="007F6B01">
      <w:pPr>
        <w:ind w:left="360"/>
        <w:jc w:val="both"/>
      </w:pPr>
      <w:r w:rsidRPr="00434DED">
        <w:t xml:space="preserve">It is the responsibility of the </w:t>
      </w:r>
      <w:r>
        <w:t>ICB</w:t>
      </w:r>
      <w:r w:rsidRPr="00434DED">
        <w:t xml:space="preserve"> to ensure that all new staff are provided with information governance, information security, freedom of information and records management training as part of their induction. Induction training is to be completed within </w:t>
      </w:r>
      <w:r>
        <w:t>1 month</w:t>
      </w:r>
      <w:r w:rsidRPr="00434DED">
        <w:t xml:space="preserve"> of joining the organisation.  All new staff as part</w:t>
      </w:r>
      <w:r>
        <w:t xml:space="preserve"> of their in</w:t>
      </w:r>
      <w:r w:rsidRPr="00A61B09">
        <w:t xml:space="preserve">duction must use </w:t>
      </w:r>
      <w:proofErr w:type="spellStart"/>
      <w:r w:rsidRPr="00A61B09">
        <w:t>ConsultOD</w:t>
      </w:r>
      <w:proofErr w:type="spellEnd"/>
      <w:r w:rsidRPr="00A61B09">
        <w:t xml:space="preserve"> to access their NHS Digital Data Security and Awareness training</w:t>
      </w:r>
      <w:r>
        <w:t>, Data Security Awareness and Information Governance Handbook and the ICBs Acceptable Use Policy</w:t>
      </w:r>
      <w:r w:rsidRPr="00A61B09">
        <w:t xml:space="preserve">. </w:t>
      </w:r>
      <w:r w:rsidRPr="00434DED">
        <w:t>Refresher training will/must be complet</w:t>
      </w:r>
      <w:r>
        <w:t xml:space="preserve">ed through the above tool or where appropriate and agreed via </w:t>
      </w:r>
      <w:r w:rsidRPr="00434DED">
        <w:t>training provided by the IG Team</w:t>
      </w:r>
      <w:r>
        <w:t xml:space="preserve"> </w:t>
      </w:r>
      <w:r w:rsidRPr="00434DED">
        <w:t>on an annual basis.</w:t>
      </w:r>
    </w:p>
    <w:p w14:paraId="0FCB2357" w14:textId="32152964" w:rsidR="007F6B01" w:rsidRPr="00434DED" w:rsidRDefault="007F6B01" w:rsidP="007F6B01">
      <w:pPr>
        <w:ind w:left="360"/>
        <w:jc w:val="both"/>
      </w:pPr>
      <w:r>
        <w:t>T</w:t>
      </w:r>
      <w:r w:rsidRPr="00434DED">
        <w:t xml:space="preserve">he </w:t>
      </w:r>
      <w:r>
        <w:t>ICB</w:t>
      </w:r>
      <w:r w:rsidRPr="00434DED">
        <w:t>, through its learning and development commitment ensures that appropriate annual training is made available to staff and completed as necessary to support their duties.</w:t>
      </w:r>
      <w:r w:rsidRPr="007F6B01">
        <w:t xml:space="preserve"> </w:t>
      </w:r>
      <w:r w:rsidRPr="00434DED">
        <w:t xml:space="preserve">In addition to the annual </w:t>
      </w:r>
      <w:r>
        <w:t xml:space="preserve">mandatory </w:t>
      </w:r>
      <w:r w:rsidRPr="00434DED">
        <w:t xml:space="preserve">training all IAOs, </w:t>
      </w:r>
      <w:r w:rsidRPr="00A61B09">
        <w:t>IAAs,</w:t>
      </w:r>
      <w:r w:rsidRPr="00434DED">
        <w:t xml:space="preserve"> the DPO, the Caldicott Guardian and SIRO are required to have undertaken </w:t>
      </w:r>
      <w:proofErr w:type="gramStart"/>
      <w:r w:rsidRPr="00434DED">
        <w:t>all of</w:t>
      </w:r>
      <w:proofErr w:type="gramEnd"/>
      <w:r w:rsidRPr="00434DED">
        <w:t xml:space="preserve"> their additional training associated with t</w:t>
      </w:r>
      <w:r>
        <w:t>heir identified framework roles as identified in the ICBs training needs analysis.  A TNA will be produced for agreement by IGG to govern training requirements.</w:t>
      </w:r>
    </w:p>
    <w:p w14:paraId="42B310F4" w14:textId="77777777" w:rsidR="007F6B01" w:rsidRPr="00C2028D" w:rsidRDefault="007F6B01" w:rsidP="007F6B01">
      <w:pPr>
        <w:widowControl w:val="0"/>
        <w:ind w:left="360"/>
        <w:jc w:val="both"/>
        <w:rPr>
          <w:rFonts w:eastAsia="Times New Roman" w:cs="Arial"/>
          <w:b/>
          <w:szCs w:val="24"/>
        </w:rPr>
      </w:pPr>
      <w:r w:rsidRPr="00C2028D">
        <w:rPr>
          <w:rFonts w:eastAsia="Times New Roman" w:cs="Arial"/>
          <w:b/>
          <w:szCs w:val="24"/>
        </w:rPr>
        <w:t>Supporting People</w:t>
      </w:r>
    </w:p>
    <w:p w14:paraId="6A9E49C3" w14:textId="77777777" w:rsidR="007F6B01" w:rsidRPr="00257A88" w:rsidRDefault="007F6B01" w:rsidP="007F6B01">
      <w:pPr>
        <w:widowControl w:val="0"/>
        <w:ind w:left="360"/>
        <w:jc w:val="both"/>
        <w:rPr>
          <w:rFonts w:eastAsia="Times New Roman" w:cs="Arial"/>
          <w:szCs w:val="24"/>
        </w:rPr>
      </w:pPr>
      <w:r w:rsidRPr="00257A88">
        <w:rPr>
          <w:rFonts w:eastAsia="Times New Roman" w:cs="Arial"/>
          <w:szCs w:val="24"/>
        </w:rPr>
        <w:t xml:space="preserve">Fundamental to the success of delivering the information governance </w:t>
      </w:r>
      <w:r>
        <w:rPr>
          <w:rFonts w:eastAsia="Times New Roman" w:cs="Arial"/>
          <w:szCs w:val="24"/>
        </w:rPr>
        <w:t xml:space="preserve">framework </w:t>
      </w:r>
      <w:r w:rsidRPr="00257A88">
        <w:rPr>
          <w:rFonts w:eastAsia="Times New Roman" w:cs="Arial"/>
          <w:szCs w:val="24"/>
        </w:rPr>
        <w:t>is developing</w:t>
      </w:r>
      <w:r>
        <w:rPr>
          <w:rFonts w:eastAsia="Times New Roman" w:cs="Arial"/>
          <w:szCs w:val="24"/>
        </w:rPr>
        <w:t xml:space="preserve"> </w:t>
      </w:r>
      <w:r w:rsidRPr="00257A88">
        <w:rPr>
          <w:rFonts w:eastAsia="Times New Roman" w:cs="Arial"/>
          <w:szCs w:val="24"/>
        </w:rPr>
        <w:t xml:space="preserve">a robust information governance culture within </w:t>
      </w:r>
      <w:r>
        <w:rPr>
          <w:rFonts w:eastAsia="Times New Roman" w:cs="Arial"/>
          <w:szCs w:val="24"/>
        </w:rPr>
        <w:t>the ICB</w:t>
      </w:r>
      <w:r w:rsidRPr="00257A88">
        <w:rPr>
          <w:rFonts w:eastAsia="Times New Roman" w:cs="Arial"/>
          <w:szCs w:val="24"/>
        </w:rPr>
        <w:t xml:space="preserve">. </w:t>
      </w:r>
      <w:proofErr w:type="gramStart"/>
      <w:r w:rsidRPr="00257A88">
        <w:rPr>
          <w:rFonts w:eastAsia="Times New Roman" w:cs="Arial"/>
          <w:szCs w:val="24"/>
        </w:rPr>
        <w:t>In order to</w:t>
      </w:r>
      <w:proofErr w:type="gramEnd"/>
      <w:r w:rsidRPr="00257A88">
        <w:rPr>
          <w:rFonts w:eastAsia="Times New Roman" w:cs="Arial"/>
          <w:szCs w:val="24"/>
        </w:rPr>
        <w:t xml:space="preserve"> promote this culture, training needs to be relevant and embedded in working practices.  </w:t>
      </w:r>
      <w:r>
        <w:rPr>
          <w:rFonts w:eastAsia="Times New Roman" w:cs="Arial"/>
          <w:szCs w:val="24"/>
        </w:rPr>
        <w:t>Through the provision of IG services by SCW the IG manager is actively involved in this development through the provision of assistance on specific projects and issues, investigations and the development of remedial action plans and the ongoing provision of relevant information and reminders.</w:t>
      </w:r>
    </w:p>
    <w:p w14:paraId="461EA825" w14:textId="77777777" w:rsidR="007F6B01" w:rsidRDefault="007F6B01" w:rsidP="007F6B01">
      <w:pPr>
        <w:widowControl w:val="0"/>
        <w:ind w:left="360"/>
        <w:jc w:val="both"/>
        <w:rPr>
          <w:rFonts w:eastAsia="Times New Roman" w:cs="Arial"/>
          <w:szCs w:val="24"/>
        </w:rPr>
      </w:pPr>
      <w:r w:rsidRPr="00257A88">
        <w:rPr>
          <w:rFonts w:eastAsia="Times New Roman" w:cs="Arial"/>
          <w:szCs w:val="24"/>
        </w:rPr>
        <w:t>Following a S</w:t>
      </w:r>
      <w:r>
        <w:rPr>
          <w:rFonts w:eastAsia="Times New Roman" w:cs="Arial"/>
          <w:szCs w:val="24"/>
        </w:rPr>
        <w:t xml:space="preserve">erious Incident Requiring Investigation (SIRI) </w:t>
      </w:r>
      <w:r w:rsidRPr="00257A88">
        <w:rPr>
          <w:rFonts w:eastAsia="Times New Roman" w:cs="Arial"/>
          <w:szCs w:val="24"/>
        </w:rPr>
        <w:t xml:space="preserve">further training may be delivered as a mandatory requirement where an incident has occurred, as deemed appropriate as part of the investigation findings. </w:t>
      </w:r>
      <w:r w:rsidRPr="004A1372">
        <w:rPr>
          <w:rFonts w:eastAsia="Times New Roman" w:cs="Arial"/>
          <w:szCs w:val="24"/>
        </w:rPr>
        <w:t xml:space="preserve">Disciplinary procedures may be </w:t>
      </w:r>
      <w:r>
        <w:rPr>
          <w:rFonts w:eastAsia="Times New Roman" w:cs="Arial"/>
          <w:szCs w:val="24"/>
        </w:rPr>
        <w:t>used where it is proven that an</w:t>
      </w:r>
      <w:r w:rsidRPr="004A1372">
        <w:rPr>
          <w:rFonts w:eastAsia="Times New Roman" w:cs="Arial"/>
          <w:szCs w:val="24"/>
        </w:rPr>
        <w:t xml:space="preserve"> employee </w:t>
      </w:r>
      <w:r>
        <w:rPr>
          <w:rFonts w:eastAsia="Times New Roman" w:cs="Arial"/>
          <w:szCs w:val="24"/>
        </w:rPr>
        <w:t>has</w:t>
      </w:r>
      <w:r w:rsidRPr="004A1372">
        <w:rPr>
          <w:rFonts w:eastAsia="Times New Roman" w:cs="Arial"/>
          <w:szCs w:val="24"/>
        </w:rPr>
        <w:t xml:space="preserve"> acted in breach of the terms of their contract</w:t>
      </w:r>
      <w:r>
        <w:rPr>
          <w:rFonts w:eastAsia="Times New Roman" w:cs="Arial"/>
          <w:szCs w:val="24"/>
        </w:rPr>
        <w:t>;</w:t>
      </w:r>
      <w:r w:rsidRPr="004A1372">
        <w:rPr>
          <w:rFonts w:eastAsia="Times New Roman" w:cs="Arial"/>
          <w:szCs w:val="24"/>
        </w:rPr>
        <w:t xml:space="preserve"> acts of gross misconduct will lead to dismissal.</w:t>
      </w:r>
    </w:p>
    <w:p w14:paraId="7A58CEA0" w14:textId="77777777" w:rsidR="00AB3198" w:rsidRDefault="00AB3198" w:rsidP="00AB3198">
      <w:pPr>
        <w:pStyle w:val="Heading2"/>
        <w:numPr>
          <w:ilvl w:val="0"/>
          <w:numId w:val="5"/>
        </w:numPr>
        <w:tabs>
          <w:tab w:val="num" w:pos="360"/>
          <w:tab w:val="left" w:pos="450"/>
        </w:tabs>
        <w:ind w:left="0" w:firstLine="0"/>
      </w:pPr>
      <w:bookmarkStart w:id="25" w:name="_Toc508611235"/>
      <w:bookmarkStart w:id="26" w:name="_Toc176865372"/>
      <w:r w:rsidRPr="00DD385E">
        <w:t>Equality</w:t>
      </w:r>
      <w:r>
        <w:t xml:space="preserve"> Impact Assessment</w:t>
      </w:r>
      <w:bookmarkEnd w:id="25"/>
      <w:bookmarkEnd w:id="26"/>
      <w:r>
        <w:t xml:space="preserve"> </w:t>
      </w:r>
    </w:p>
    <w:p w14:paraId="3BFBC7DC" w14:textId="07DD925B" w:rsidR="00AB3198" w:rsidRPr="00C20134" w:rsidRDefault="001563B1" w:rsidP="00AB3198">
      <w:pPr>
        <w:pStyle w:val="BodyText1"/>
        <w:spacing w:after="360"/>
        <w:rPr>
          <w:color w:val="D90000"/>
        </w:rPr>
      </w:pPr>
      <w:r>
        <w:rPr>
          <w:color w:val="D90000"/>
        </w:rPr>
        <w:t>EIA Screening in Appendix ***</w:t>
      </w:r>
      <w:r w:rsidR="00AB3198" w:rsidRPr="00C20134">
        <w:rPr>
          <w:color w:val="D90000"/>
        </w:rPr>
        <w:t xml:space="preserve">. </w:t>
      </w:r>
    </w:p>
    <w:p w14:paraId="452F26F3" w14:textId="77777777" w:rsidR="00AB3198" w:rsidRDefault="00AB3198" w:rsidP="00AB3198">
      <w:pPr>
        <w:pStyle w:val="Heading2"/>
        <w:numPr>
          <w:ilvl w:val="0"/>
          <w:numId w:val="5"/>
        </w:numPr>
        <w:tabs>
          <w:tab w:val="num" w:pos="360"/>
          <w:tab w:val="left" w:pos="450"/>
        </w:tabs>
        <w:ind w:left="0" w:firstLine="0"/>
      </w:pPr>
      <w:bookmarkStart w:id="27" w:name="_Toc508611236"/>
      <w:bookmarkStart w:id="28" w:name="_Toc176865373"/>
      <w:r w:rsidRPr="00926617">
        <w:t>Implementation and Monitoring Compliance and Effectiveness</w:t>
      </w:r>
      <w:bookmarkEnd w:id="27"/>
      <w:bookmarkEnd w:id="28"/>
    </w:p>
    <w:p w14:paraId="41F3E977" w14:textId="77777777" w:rsidR="007F6B01" w:rsidRPr="000D0C37" w:rsidRDefault="007F6B01" w:rsidP="007F6B01">
      <w:pPr>
        <w:widowControl w:val="0"/>
        <w:ind w:firstLine="360"/>
        <w:jc w:val="both"/>
        <w:rPr>
          <w:rFonts w:eastAsia="Times New Roman" w:cs="Arial"/>
          <w:szCs w:val="24"/>
        </w:rPr>
      </w:pPr>
      <w:r w:rsidRPr="00C92811">
        <w:rPr>
          <w:rFonts w:eastAsia="Times New Roman" w:cs="Arial"/>
          <w:szCs w:val="24"/>
        </w:rPr>
        <w:t>The performance of</w:t>
      </w:r>
      <w:r>
        <w:rPr>
          <w:rFonts w:eastAsia="Times New Roman" w:cs="Arial"/>
          <w:szCs w:val="24"/>
        </w:rPr>
        <w:t xml:space="preserve"> the framework </w:t>
      </w:r>
      <w:r w:rsidRPr="00C92811">
        <w:rPr>
          <w:rFonts w:eastAsia="Times New Roman" w:cs="Arial"/>
          <w:szCs w:val="24"/>
        </w:rPr>
        <w:t>will be monitored in two ways:</w:t>
      </w:r>
    </w:p>
    <w:p w14:paraId="45504097" w14:textId="77777777" w:rsidR="007F6B01" w:rsidRPr="00284197" w:rsidRDefault="007F6B01" w:rsidP="007F6B01">
      <w:pPr>
        <w:pStyle w:val="ListParagraph"/>
        <w:widowControl w:val="0"/>
        <w:numPr>
          <w:ilvl w:val="0"/>
          <w:numId w:val="13"/>
        </w:numPr>
        <w:tabs>
          <w:tab w:val="left" w:pos="1134"/>
        </w:tabs>
        <w:spacing w:after="120" w:line="240" w:lineRule="auto"/>
        <w:ind w:left="1134" w:hanging="567"/>
        <w:jc w:val="both"/>
        <w:rPr>
          <w:rFonts w:asciiTheme="minorHAnsi" w:eastAsia="Times New Roman" w:hAnsiTheme="minorHAnsi" w:cs="Arial"/>
          <w:szCs w:val="24"/>
        </w:rPr>
      </w:pPr>
      <w:r w:rsidRPr="00284197">
        <w:rPr>
          <w:rFonts w:asciiTheme="minorHAnsi" w:eastAsia="Times New Roman" w:hAnsiTheme="minorHAnsi" w:cs="Arial"/>
          <w:szCs w:val="24"/>
        </w:rPr>
        <w:t xml:space="preserve">Against the criteria set in the Data Security and Protection Toolkit, using the annual submission on 31 </w:t>
      </w:r>
      <w:r>
        <w:rPr>
          <w:rFonts w:asciiTheme="minorHAnsi" w:eastAsia="Times New Roman" w:hAnsiTheme="minorHAnsi" w:cs="Arial"/>
          <w:szCs w:val="24"/>
        </w:rPr>
        <w:t xml:space="preserve">June </w:t>
      </w:r>
      <w:r w:rsidRPr="00284197">
        <w:rPr>
          <w:rFonts w:asciiTheme="minorHAnsi" w:eastAsia="Times New Roman" w:hAnsiTheme="minorHAnsi" w:cs="Arial"/>
          <w:szCs w:val="24"/>
        </w:rPr>
        <w:t xml:space="preserve">and associated improvement plan. </w:t>
      </w:r>
    </w:p>
    <w:p w14:paraId="32CAA9D6" w14:textId="77777777" w:rsidR="007F6B01" w:rsidRPr="00A97CF5" w:rsidRDefault="007F6B01" w:rsidP="007F6B01">
      <w:pPr>
        <w:pStyle w:val="ListParagraph"/>
        <w:widowControl w:val="0"/>
        <w:numPr>
          <w:ilvl w:val="0"/>
          <w:numId w:val="13"/>
        </w:numPr>
        <w:tabs>
          <w:tab w:val="left" w:pos="1134"/>
        </w:tabs>
        <w:spacing w:after="120" w:line="240" w:lineRule="auto"/>
        <w:ind w:left="1134" w:hanging="567"/>
        <w:jc w:val="both"/>
        <w:rPr>
          <w:rFonts w:asciiTheme="minorHAnsi" w:eastAsia="Times New Roman" w:hAnsiTheme="minorHAnsi" w:cs="Arial"/>
          <w:szCs w:val="24"/>
        </w:rPr>
      </w:pPr>
      <w:r w:rsidRPr="00284197">
        <w:rPr>
          <w:rFonts w:asciiTheme="minorHAnsi" w:eastAsia="Times New Roman" w:hAnsiTheme="minorHAnsi" w:cs="Arial"/>
          <w:szCs w:val="24"/>
        </w:rPr>
        <w:t xml:space="preserve">The internal audit process and subsequent report to </w:t>
      </w:r>
      <w:r w:rsidRPr="00C2028D">
        <w:rPr>
          <w:rFonts w:asciiTheme="minorHAnsi" w:eastAsia="Times New Roman" w:hAnsiTheme="minorHAnsi" w:cs="Arial"/>
          <w:szCs w:val="24"/>
        </w:rPr>
        <w:t>the audit committee</w:t>
      </w:r>
      <w:r w:rsidRPr="00284197">
        <w:rPr>
          <w:rFonts w:asciiTheme="minorHAnsi" w:eastAsia="Times New Roman" w:hAnsiTheme="minorHAnsi" w:cs="Arial"/>
          <w:szCs w:val="24"/>
        </w:rPr>
        <w:t>.</w:t>
      </w:r>
    </w:p>
    <w:p w14:paraId="49F35A1C" w14:textId="77777777" w:rsidR="00AB3198" w:rsidRDefault="00AB3198" w:rsidP="00AB3198">
      <w:pPr>
        <w:pStyle w:val="Heading2"/>
        <w:numPr>
          <w:ilvl w:val="0"/>
          <w:numId w:val="5"/>
        </w:numPr>
        <w:tabs>
          <w:tab w:val="num" w:pos="360"/>
          <w:tab w:val="left" w:pos="450"/>
        </w:tabs>
        <w:ind w:left="0" w:firstLine="0"/>
      </w:pPr>
      <w:bookmarkStart w:id="29" w:name="_Toc508611237"/>
      <w:bookmarkStart w:id="30" w:name="_Toc176865374"/>
      <w:r>
        <w:lastRenderedPageBreak/>
        <w:t>Countering Fraud</w:t>
      </w:r>
      <w:bookmarkEnd w:id="29"/>
      <w:r>
        <w:t>, Bribery and Corruption</w:t>
      </w:r>
      <w:bookmarkEnd w:id="30"/>
      <w:r>
        <w:t xml:space="preserve"> </w:t>
      </w:r>
    </w:p>
    <w:p w14:paraId="57AFA914" w14:textId="77777777" w:rsidR="00AB3198" w:rsidRPr="001563B1" w:rsidRDefault="00AB3198" w:rsidP="00AB3198">
      <w:pPr>
        <w:spacing w:after="480"/>
        <w:ind w:right="-288"/>
        <w:jc w:val="both"/>
      </w:pPr>
      <w:bookmarkStart w:id="31" w:name="_Toc508611238"/>
      <w:r w:rsidRPr="001563B1">
        <w:t xml:space="preserve">The ICB is committed to reducing and preventing fraud, bribery and corruption in the NHS and ensuring that funds stolen by these means are put back into patient care. During the development of this policy document, we have </w:t>
      </w:r>
      <w:proofErr w:type="gramStart"/>
      <w:r w:rsidRPr="001563B1">
        <w:t>given consideration to</w:t>
      </w:r>
      <w:proofErr w:type="gramEnd"/>
      <w:r w:rsidRPr="001563B1">
        <w:t xml:space="preserve"> how fraud, bribery or corruption may occur in this area. We have ensured that our processes will assist in preventing, detecting and deterring fraud, bribery and corruption and considered what our responses to allegation of incidents of any such acts would be.</w:t>
      </w:r>
    </w:p>
    <w:p w14:paraId="08F654D0" w14:textId="4043130A" w:rsidR="00AB3198" w:rsidRPr="001563B1" w:rsidRDefault="00AB3198" w:rsidP="00AB3198">
      <w:pPr>
        <w:spacing w:after="480"/>
        <w:ind w:right="-288"/>
        <w:jc w:val="both"/>
        <w:rPr>
          <w:rFonts w:cs="Arial"/>
        </w:rPr>
      </w:pPr>
      <w:proofErr w:type="gramStart"/>
      <w:r w:rsidRPr="001563B1">
        <w:t>In the event that</w:t>
      </w:r>
      <w:proofErr w:type="gramEnd"/>
      <w:r w:rsidRPr="001563B1">
        <w:t xml:space="preserve"> fraud, bribery or corruption is reasonably suspected, and in accordance with the Local Counter Fraud, Bribery and Corruption Policy, the </w:t>
      </w:r>
      <w:r w:rsidR="001563B1" w:rsidRPr="001563B1">
        <w:t xml:space="preserve">ICB </w:t>
      </w:r>
      <w:r w:rsidRPr="001563B1">
        <w:t xml:space="preserve">Team will refer the matter to the ICB’s Local Counter Fraud Specialist for investigation and reserve the right to prosecute where fraud, bribery or corruption is suspected to have taken place. In cases involving any type of loss (financial or other), the ICB will take action to recover those losses by working with law enforcement agencies and investigators in both criminal and/or civil courts. </w:t>
      </w:r>
    </w:p>
    <w:p w14:paraId="6D205C4B" w14:textId="77777777" w:rsidR="00AB3198" w:rsidRDefault="00AB3198" w:rsidP="00AB3198">
      <w:pPr>
        <w:pStyle w:val="Heading2"/>
        <w:numPr>
          <w:ilvl w:val="0"/>
          <w:numId w:val="5"/>
        </w:numPr>
        <w:tabs>
          <w:tab w:val="num" w:pos="360"/>
          <w:tab w:val="left" w:pos="450"/>
          <w:tab w:val="left" w:pos="540"/>
        </w:tabs>
        <w:ind w:left="0" w:firstLine="0"/>
      </w:pPr>
      <w:bookmarkStart w:id="32" w:name="_Toc176865375"/>
      <w:r>
        <w:t>References, acknowledgements and associated documents</w:t>
      </w:r>
      <w:bookmarkEnd w:id="31"/>
      <w:bookmarkEnd w:id="32"/>
    </w:p>
    <w:p w14:paraId="552CFF24" w14:textId="77777777" w:rsidR="007F6B01" w:rsidRDefault="007F6B01" w:rsidP="007F6B01"/>
    <w:p w14:paraId="6507CA81" w14:textId="77777777" w:rsidR="007F6B01" w:rsidRDefault="007F6B01" w:rsidP="007F6B01">
      <w:pPr>
        <w:widowControl w:val="0"/>
        <w:jc w:val="both"/>
        <w:rPr>
          <w:rFonts w:cs="Arial"/>
          <w:szCs w:val="24"/>
        </w:rPr>
      </w:pPr>
      <w:r w:rsidRPr="00506E19">
        <w:rPr>
          <w:rFonts w:cs="Arial"/>
          <w:szCs w:val="24"/>
        </w:rPr>
        <w:t xml:space="preserve">This management framework links to other strategies, policies, procedures and </w:t>
      </w:r>
      <w:r>
        <w:rPr>
          <w:rFonts w:cs="Arial"/>
          <w:szCs w:val="24"/>
        </w:rPr>
        <w:t xml:space="preserve">legislation/codes of practice (See Appendix 13.3) </w:t>
      </w:r>
      <w:r w:rsidRPr="00506E19">
        <w:rPr>
          <w:rFonts w:cs="Arial"/>
          <w:szCs w:val="24"/>
        </w:rPr>
        <w:t xml:space="preserve">that are in place within </w:t>
      </w:r>
      <w:r>
        <w:rPr>
          <w:rFonts w:cs="Arial"/>
          <w:szCs w:val="24"/>
        </w:rPr>
        <w:t>the ICB</w:t>
      </w:r>
      <w:r w:rsidRPr="00506E19">
        <w:rPr>
          <w:rFonts w:cs="Arial"/>
          <w:szCs w:val="24"/>
        </w:rPr>
        <w:t xml:space="preserve"> to promote and ensure the delivery of information governance standards throughout the organisation</w:t>
      </w:r>
      <w:r>
        <w:rPr>
          <w:rFonts w:cs="Arial"/>
          <w:szCs w:val="24"/>
        </w:rPr>
        <w:t>, including but not limited to those documents listed below.</w:t>
      </w:r>
    </w:p>
    <w:p w14:paraId="7E42D58F" w14:textId="77777777" w:rsidR="007F6B01" w:rsidRPr="007F6B01" w:rsidRDefault="007F6B01" w:rsidP="007F6B01"/>
    <w:p w14:paraId="0D8193F3" w14:textId="6A3070E7" w:rsidR="00AB3198" w:rsidRPr="00716472" w:rsidRDefault="00AB3198" w:rsidP="00AB3198">
      <w:pPr>
        <w:spacing w:after="480"/>
        <w:rPr>
          <w:color w:val="D90000"/>
        </w:rPr>
      </w:pPr>
      <w:r w:rsidRPr="00716472">
        <w:rPr>
          <w:color w:val="D90000"/>
        </w:rPr>
        <w:lastRenderedPageBreak/>
        <w:t>T</w:t>
      </w:r>
      <w:r w:rsidR="007F6B01" w:rsidRPr="00393AA0">
        <w:rPr>
          <w:rFonts w:eastAsia="Times New Roman" w:cs="Arial"/>
          <w:noProof/>
          <w:color w:val="000000"/>
          <w:szCs w:val="24"/>
          <w:lang w:eastAsia="en-GB"/>
        </w:rPr>
        <w:drawing>
          <wp:inline distT="0" distB="0" distL="0" distR="0" wp14:anchorId="4C445B89" wp14:editId="7578679D">
            <wp:extent cx="5622925" cy="4444365"/>
            <wp:effectExtent l="57150" t="0" r="34925"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3F157791" w14:textId="0C6FF2FC" w:rsidR="00AB3198" w:rsidRDefault="00AB3198" w:rsidP="00AB3198">
      <w:pPr>
        <w:pStyle w:val="Heading2"/>
        <w:numPr>
          <w:ilvl w:val="0"/>
          <w:numId w:val="5"/>
        </w:numPr>
        <w:tabs>
          <w:tab w:val="num" w:pos="360"/>
          <w:tab w:val="left" w:pos="450"/>
        </w:tabs>
        <w:spacing w:after="560"/>
        <w:ind w:left="0" w:firstLine="0"/>
      </w:pPr>
      <w:bookmarkStart w:id="33" w:name="_Toc508611239"/>
      <w:bookmarkStart w:id="34" w:name="_Toc176865376"/>
      <w:r>
        <w:t>Appendices</w:t>
      </w:r>
      <w:bookmarkEnd w:id="33"/>
      <w:bookmarkEnd w:id="34"/>
    </w:p>
    <w:p w14:paraId="41B80383" w14:textId="53ED7C71" w:rsidR="007F6B01" w:rsidRPr="004821E9" w:rsidRDefault="007F6B01" w:rsidP="001563B1">
      <w:pPr>
        <w:pStyle w:val="Heading3"/>
        <w:numPr>
          <w:ilvl w:val="1"/>
          <w:numId w:val="18"/>
        </w:numPr>
        <w:spacing w:before="300" w:line="276" w:lineRule="auto"/>
      </w:pPr>
      <w:bookmarkStart w:id="35" w:name="_Toc175901306"/>
      <w:bookmarkStart w:id="36" w:name="_Hlk160803279"/>
      <w:bookmarkStart w:id="37" w:name="_Toc176865377"/>
      <w:r w:rsidRPr="004821E9">
        <w:t>L</w:t>
      </w:r>
      <w:r>
        <w:t>egislation</w:t>
      </w:r>
      <w:bookmarkEnd w:id="35"/>
      <w:bookmarkEnd w:id="37"/>
    </w:p>
    <w:bookmarkEnd w:id="36"/>
    <w:p w14:paraId="4B6B931A" w14:textId="77777777" w:rsidR="007F6B01" w:rsidRDefault="007F6B01" w:rsidP="007F6B01">
      <w:pPr>
        <w:widowControl w:val="0"/>
        <w:spacing w:line="240" w:lineRule="auto"/>
        <w:ind w:left="567" w:firstLine="153"/>
        <w:jc w:val="both"/>
        <w:rPr>
          <w:rFonts w:eastAsia="Times New Roman" w:cs="Arial"/>
          <w:szCs w:val="24"/>
        </w:rPr>
      </w:pPr>
    </w:p>
    <w:p w14:paraId="78F73677" w14:textId="77777777" w:rsidR="007F6B01" w:rsidRPr="000646B8" w:rsidRDefault="007F6B01" w:rsidP="007F6B01">
      <w:pPr>
        <w:widowControl w:val="0"/>
        <w:spacing w:line="240" w:lineRule="auto"/>
        <w:ind w:left="567" w:firstLine="153"/>
        <w:jc w:val="both"/>
        <w:rPr>
          <w:rFonts w:eastAsia="Times New Roman" w:cs="Arial"/>
          <w:szCs w:val="24"/>
        </w:rPr>
      </w:pPr>
      <w:r w:rsidRPr="000646B8">
        <w:rPr>
          <w:rFonts w:eastAsia="Times New Roman" w:cs="Arial"/>
          <w:szCs w:val="24"/>
        </w:rPr>
        <w:t>All staff are required to comply with Data Protection Legislation.  This includes</w:t>
      </w:r>
      <w:r>
        <w:rPr>
          <w:rFonts w:eastAsia="Times New Roman" w:cs="Arial"/>
          <w:szCs w:val="24"/>
        </w:rPr>
        <w:t>:</w:t>
      </w:r>
    </w:p>
    <w:p w14:paraId="3EF17442" w14:textId="77777777" w:rsidR="007F6B01" w:rsidRPr="000646B8" w:rsidRDefault="007F6B01" w:rsidP="007F6B01">
      <w:pPr>
        <w:widowControl w:val="0"/>
        <w:numPr>
          <w:ilvl w:val="0"/>
          <w:numId w:val="14"/>
        </w:numPr>
        <w:spacing w:after="0" w:line="240" w:lineRule="auto"/>
        <w:ind w:left="1701" w:hanging="567"/>
        <w:contextualSpacing/>
        <w:jc w:val="both"/>
        <w:rPr>
          <w:rFonts w:eastAsia="Times New Roman" w:cs="Arial"/>
          <w:szCs w:val="24"/>
        </w:rPr>
      </w:pPr>
      <w:r w:rsidRPr="000646B8">
        <w:rPr>
          <w:rFonts w:eastAsia="Times New Roman" w:cs="Arial"/>
          <w:szCs w:val="24"/>
        </w:rPr>
        <w:t xml:space="preserve">the </w:t>
      </w:r>
      <w:r>
        <w:rPr>
          <w:rFonts w:eastAsia="Times New Roman" w:cs="Arial"/>
          <w:szCs w:val="24"/>
        </w:rPr>
        <w:t xml:space="preserve">UK </w:t>
      </w:r>
      <w:r w:rsidRPr="000646B8">
        <w:rPr>
          <w:rFonts w:eastAsia="Times New Roman" w:cs="Arial"/>
          <w:szCs w:val="24"/>
        </w:rPr>
        <w:t xml:space="preserve">General Data Protection Regulation (GDPR), </w:t>
      </w:r>
    </w:p>
    <w:p w14:paraId="5005D9B9" w14:textId="77777777" w:rsidR="007F6B01" w:rsidRDefault="007F6B01" w:rsidP="007F6B01">
      <w:pPr>
        <w:widowControl w:val="0"/>
        <w:numPr>
          <w:ilvl w:val="0"/>
          <w:numId w:val="14"/>
        </w:numPr>
        <w:spacing w:after="0" w:line="240" w:lineRule="auto"/>
        <w:ind w:left="1701" w:hanging="567"/>
        <w:contextualSpacing/>
        <w:jc w:val="both"/>
        <w:rPr>
          <w:rFonts w:eastAsia="Times New Roman" w:cs="Arial"/>
          <w:szCs w:val="24"/>
        </w:rPr>
      </w:pPr>
      <w:r w:rsidRPr="000646B8">
        <w:rPr>
          <w:rFonts w:eastAsia="Times New Roman" w:cs="Arial"/>
          <w:szCs w:val="24"/>
        </w:rPr>
        <w:t xml:space="preserve">the Data Protection Act (DPA) 2018, </w:t>
      </w:r>
    </w:p>
    <w:p w14:paraId="0B7E6E91" w14:textId="77777777" w:rsidR="007F6B01" w:rsidRDefault="007F6B01" w:rsidP="007F6B01">
      <w:pPr>
        <w:widowControl w:val="0"/>
        <w:numPr>
          <w:ilvl w:val="0"/>
          <w:numId w:val="14"/>
        </w:numPr>
        <w:spacing w:after="0" w:line="240" w:lineRule="auto"/>
        <w:ind w:left="1701" w:hanging="567"/>
        <w:contextualSpacing/>
        <w:jc w:val="both"/>
        <w:rPr>
          <w:rFonts w:eastAsia="Times New Roman" w:cs="Arial"/>
          <w:szCs w:val="24"/>
        </w:rPr>
      </w:pPr>
      <w:r>
        <w:rPr>
          <w:rFonts w:eastAsia="Times New Roman" w:cs="Arial"/>
          <w:szCs w:val="24"/>
        </w:rPr>
        <w:t>the Law Enforcement Directive (Directive (EU) 2016/680) (LED) and any applicable national Laws implementing them as amended from time to time</w:t>
      </w:r>
    </w:p>
    <w:p w14:paraId="0C647AC9" w14:textId="77777777" w:rsidR="007F6B01" w:rsidRPr="000646B8" w:rsidRDefault="007F6B01" w:rsidP="007F6B01">
      <w:pPr>
        <w:widowControl w:val="0"/>
        <w:spacing w:line="240" w:lineRule="auto"/>
        <w:ind w:left="567"/>
        <w:contextualSpacing/>
        <w:jc w:val="both"/>
        <w:rPr>
          <w:rFonts w:eastAsia="Times New Roman" w:cs="Arial"/>
          <w:szCs w:val="24"/>
        </w:rPr>
      </w:pPr>
    </w:p>
    <w:p w14:paraId="05C716CA" w14:textId="77777777" w:rsidR="007F6B01" w:rsidRPr="000646B8" w:rsidRDefault="007F6B01" w:rsidP="007F6B01">
      <w:pPr>
        <w:widowControl w:val="0"/>
        <w:spacing w:line="240" w:lineRule="auto"/>
        <w:ind w:left="567"/>
        <w:jc w:val="both"/>
        <w:rPr>
          <w:rFonts w:eastAsia="Times New Roman" w:cs="Arial"/>
          <w:szCs w:val="24"/>
        </w:rPr>
      </w:pPr>
      <w:r w:rsidRPr="000646B8">
        <w:rPr>
          <w:rFonts w:eastAsia="Times New Roman" w:cs="Arial"/>
          <w:szCs w:val="24"/>
        </w:rPr>
        <w:t xml:space="preserve">In addition, consideration will also be given to all applicable Law concerning privacy confidentiality, the processing and sharing of personal data including </w:t>
      </w:r>
    </w:p>
    <w:p w14:paraId="41C1E57A" w14:textId="77777777" w:rsidR="007F6B01" w:rsidRPr="000646B8" w:rsidRDefault="007F6B01" w:rsidP="007F6B01">
      <w:pPr>
        <w:widowControl w:val="0"/>
        <w:numPr>
          <w:ilvl w:val="0"/>
          <w:numId w:val="15"/>
        </w:numPr>
        <w:spacing w:after="0" w:line="240" w:lineRule="auto"/>
        <w:ind w:left="1701" w:hanging="567"/>
        <w:contextualSpacing/>
        <w:jc w:val="both"/>
        <w:rPr>
          <w:rFonts w:eastAsia="Times New Roman" w:cs="Arial"/>
          <w:szCs w:val="24"/>
        </w:rPr>
      </w:pPr>
      <w:r w:rsidRPr="000646B8">
        <w:rPr>
          <w:rFonts w:eastAsia="Times New Roman" w:cs="Arial"/>
          <w:szCs w:val="24"/>
        </w:rPr>
        <w:t xml:space="preserve">the Human Rights Act 1998, </w:t>
      </w:r>
    </w:p>
    <w:p w14:paraId="468D4599" w14:textId="77777777" w:rsidR="007F6B01" w:rsidRPr="000646B8" w:rsidRDefault="007F6B01" w:rsidP="007F6B01">
      <w:pPr>
        <w:widowControl w:val="0"/>
        <w:numPr>
          <w:ilvl w:val="0"/>
          <w:numId w:val="15"/>
        </w:numPr>
        <w:spacing w:after="0" w:line="240" w:lineRule="auto"/>
        <w:ind w:left="1701" w:hanging="567"/>
        <w:contextualSpacing/>
        <w:jc w:val="both"/>
        <w:rPr>
          <w:rFonts w:eastAsia="Times New Roman" w:cs="Arial"/>
          <w:szCs w:val="24"/>
        </w:rPr>
      </w:pPr>
      <w:r w:rsidRPr="000646B8">
        <w:rPr>
          <w:rFonts w:eastAsia="Times New Roman" w:cs="Arial"/>
          <w:szCs w:val="24"/>
        </w:rPr>
        <w:t xml:space="preserve">the Health and Social Care Act 2012 as amended by the Health and Social Care (Safety and Quality) Act 2015, </w:t>
      </w:r>
    </w:p>
    <w:p w14:paraId="34B3D4FA" w14:textId="77777777" w:rsidR="007F6B01" w:rsidRPr="000646B8" w:rsidRDefault="007F6B01" w:rsidP="007F6B01">
      <w:pPr>
        <w:widowControl w:val="0"/>
        <w:numPr>
          <w:ilvl w:val="0"/>
          <w:numId w:val="15"/>
        </w:numPr>
        <w:spacing w:after="0" w:line="240" w:lineRule="auto"/>
        <w:ind w:left="1701" w:hanging="567"/>
        <w:contextualSpacing/>
        <w:jc w:val="both"/>
        <w:rPr>
          <w:rFonts w:eastAsia="Times New Roman" w:cs="Arial"/>
          <w:szCs w:val="24"/>
        </w:rPr>
      </w:pPr>
      <w:r w:rsidRPr="000646B8">
        <w:rPr>
          <w:rFonts w:eastAsia="Times New Roman" w:cs="Arial"/>
          <w:szCs w:val="24"/>
        </w:rPr>
        <w:t xml:space="preserve">the common law duty of confidentiality and </w:t>
      </w:r>
    </w:p>
    <w:p w14:paraId="71FE3EDA" w14:textId="77777777" w:rsidR="007F6B01" w:rsidRPr="000646B8" w:rsidRDefault="007F6B01" w:rsidP="007F6B01">
      <w:pPr>
        <w:widowControl w:val="0"/>
        <w:numPr>
          <w:ilvl w:val="0"/>
          <w:numId w:val="15"/>
        </w:numPr>
        <w:spacing w:after="0" w:line="240" w:lineRule="auto"/>
        <w:ind w:left="1701" w:hanging="567"/>
        <w:contextualSpacing/>
        <w:jc w:val="both"/>
        <w:rPr>
          <w:rFonts w:eastAsia="Times New Roman" w:cs="Arial"/>
          <w:szCs w:val="24"/>
        </w:rPr>
      </w:pPr>
      <w:r w:rsidRPr="000646B8">
        <w:rPr>
          <w:rFonts w:eastAsia="Times New Roman" w:cs="Arial"/>
          <w:szCs w:val="24"/>
        </w:rPr>
        <w:lastRenderedPageBreak/>
        <w:t>the Privacy and Electronic Communications (EC Directive) Regulations</w:t>
      </w:r>
      <w:r>
        <w:rPr>
          <w:rFonts w:eastAsia="Times New Roman" w:cs="Arial"/>
          <w:szCs w:val="24"/>
        </w:rPr>
        <w:t xml:space="preserve"> 2003</w:t>
      </w:r>
    </w:p>
    <w:p w14:paraId="41BE2EB3" w14:textId="77777777" w:rsidR="007F6B01" w:rsidRPr="000646B8" w:rsidRDefault="007F6B01" w:rsidP="007F6B01">
      <w:pPr>
        <w:widowControl w:val="0"/>
        <w:spacing w:line="240" w:lineRule="auto"/>
        <w:ind w:left="1134" w:hanging="567"/>
        <w:jc w:val="both"/>
        <w:rPr>
          <w:rFonts w:eastAsia="Times New Roman" w:cs="Arial"/>
          <w:szCs w:val="24"/>
        </w:rPr>
      </w:pPr>
    </w:p>
    <w:p w14:paraId="38126C75" w14:textId="77777777" w:rsidR="007F6B01" w:rsidRPr="000646B8" w:rsidRDefault="007F6B01" w:rsidP="007F6B01">
      <w:pPr>
        <w:widowControl w:val="0"/>
        <w:spacing w:line="240" w:lineRule="auto"/>
        <w:ind w:left="1134" w:hanging="567"/>
        <w:jc w:val="both"/>
        <w:rPr>
          <w:rFonts w:eastAsia="Times New Roman" w:cs="Arial"/>
          <w:szCs w:val="24"/>
        </w:rPr>
      </w:pPr>
      <w:r w:rsidRPr="000646B8">
        <w:rPr>
          <w:rFonts w:eastAsia="Times New Roman" w:cs="Arial"/>
          <w:szCs w:val="24"/>
        </w:rPr>
        <w:t>Consideration must also be given to the</w:t>
      </w:r>
    </w:p>
    <w:p w14:paraId="35D79FC4" w14:textId="77777777" w:rsidR="007F6B01" w:rsidRPr="000646B8" w:rsidRDefault="007F6B01" w:rsidP="007F6B01">
      <w:pPr>
        <w:widowControl w:val="0"/>
        <w:numPr>
          <w:ilvl w:val="0"/>
          <w:numId w:val="16"/>
        </w:numPr>
        <w:spacing w:after="0" w:line="240" w:lineRule="auto"/>
        <w:ind w:left="1701" w:hanging="567"/>
        <w:contextualSpacing/>
        <w:jc w:val="both"/>
        <w:rPr>
          <w:rFonts w:eastAsia="Times New Roman" w:cs="Arial"/>
          <w:szCs w:val="24"/>
        </w:rPr>
      </w:pPr>
      <w:r w:rsidRPr="000646B8">
        <w:rPr>
          <w:rFonts w:eastAsia="Times New Roman" w:cs="Arial"/>
          <w:szCs w:val="24"/>
        </w:rPr>
        <w:t>Computer Misuse Act 1990 and as amended by the Police and Justice Act 2006 (Computer Misuse)</w:t>
      </w:r>
    </w:p>
    <w:p w14:paraId="2C19052F" w14:textId="77777777" w:rsidR="007F6B01" w:rsidRPr="000646B8" w:rsidRDefault="007F6B01" w:rsidP="007F6B01">
      <w:pPr>
        <w:widowControl w:val="0"/>
        <w:numPr>
          <w:ilvl w:val="0"/>
          <w:numId w:val="16"/>
        </w:numPr>
        <w:spacing w:after="0" w:line="240" w:lineRule="auto"/>
        <w:ind w:left="1701" w:hanging="567"/>
        <w:contextualSpacing/>
        <w:jc w:val="both"/>
        <w:rPr>
          <w:rFonts w:eastAsia="Times New Roman" w:cs="Arial"/>
          <w:szCs w:val="24"/>
        </w:rPr>
      </w:pPr>
      <w:r w:rsidRPr="000646B8">
        <w:rPr>
          <w:rFonts w:eastAsia="Times New Roman" w:cs="Arial"/>
          <w:szCs w:val="24"/>
        </w:rPr>
        <w:t xml:space="preserve">Copyright, Designs and Patents Act 1988 </w:t>
      </w:r>
    </w:p>
    <w:p w14:paraId="56E8B3E4" w14:textId="77777777" w:rsidR="007F6B01" w:rsidRPr="000646B8" w:rsidRDefault="007F6B01" w:rsidP="007F6B01">
      <w:pPr>
        <w:widowControl w:val="0"/>
        <w:numPr>
          <w:ilvl w:val="0"/>
          <w:numId w:val="16"/>
        </w:numPr>
        <w:spacing w:after="0" w:line="240" w:lineRule="auto"/>
        <w:ind w:left="1701" w:hanging="567"/>
        <w:contextualSpacing/>
        <w:jc w:val="both"/>
        <w:rPr>
          <w:rFonts w:eastAsia="Times New Roman" w:cs="Arial"/>
          <w:szCs w:val="24"/>
        </w:rPr>
      </w:pPr>
      <w:r w:rsidRPr="000646B8">
        <w:rPr>
          <w:rFonts w:eastAsia="Times New Roman" w:cs="Arial"/>
          <w:szCs w:val="24"/>
        </w:rPr>
        <w:t xml:space="preserve">Regulation of Investigatory Powers Act 2000 </w:t>
      </w:r>
    </w:p>
    <w:p w14:paraId="384A072C" w14:textId="77777777" w:rsidR="007F6B01" w:rsidRPr="000646B8" w:rsidRDefault="007F6B01" w:rsidP="007F6B01">
      <w:pPr>
        <w:widowControl w:val="0"/>
        <w:numPr>
          <w:ilvl w:val="0"/>
          <w:numId w:val="16"/>
        </w:numPr>
        <w:spacing w:after="0" w:line="240" w:lineRule="auto"/>
        <w:ind w:left="1701" w:hanging="567"/>
        <w:contextualSpacing/>
        <w:jc w:val="both"/>
        <w:rPr>
          <w:rFonts w:eastAsia="Times New Roman" w:cs="Arial"/>
          <w:szCs w:val="24"/>
        </w:rPr>
      </w:pPr>
      <w:r w:rsidRPr="000646B8">
        <w:rPr>
          <w:rFonts w:eastAsia="Times New Roman" w:cs="Arial"/>
          <w:szCs w:val="24"/>
        </w:rPr>
        <w:t xml:space="preserve">Electronic Communications Act 2000 </w:t>
      </w:r>
    </w:p>
    <w:p w14:paraId="0B01F88E" w14:textId="77777777" w:rsidR="007F6B01" w:rsidRPr="000646B8" w:rsidRDefault="007F6B01" w:rsidP="007F6B01">
      <w:pPr>
        <w:widowControl w:val="0"/>
        <w:numPr>
          <w:ilvl w:val="0"/>
          <w:numId w:val="16"/>
        </w:numPr>
        <w:spacing w:after="0" w:line="240" w:lineRule="auto"/>
        <w:ind w:left="1701" w:hanging="567"/>
        <w:contextualSpacing/>
        <w:jc w:val="both"/>
        <w:rPr>
          <w:rFonts w:eastAsia="Times New Roman" w:cs="Arial"/>
          <w:szCs w:val="24"/>
        </w:rPr>
      </w:pPr>
      <w:r w:rsidRPr="000646B8">
        <w:rPr>
          <w:rFonts w:eastAsia="Times New Roman" w:cs="Arial"/>
          <w:szCs w:val="24"/>
        </w:rPr>
        <w:t>Freedom of Information Act 2000</w:t>
      </w:r>
    </w:p>
    <w:p w14:paraId="65A923B2" w14:textId="77777777" w:rsidR="007F6B01" w:rsidRPr="000646B8" w:rsidRDefault="007F6B01" w:rsidP="007F6B01">
      <w:pPr>
        <w:widowControl w:val="0"/>
        <w:numPr>
          <w:ilvl w:val="0"/>
          <w:numId w:val="16"/>
        </w:numPr>
        <w:spacing w:after="0" w:line="240" w:lineRule="auto"/>
        <w:ind w:left="1701" w:hanging="567"/>
        <w:contextualSpacing/>
        <w:jc w:val="both"/>
        <w:rPr>
          <w:rFonts w:eastAsia="Times New Roman" w:cs="Arial"/>
          <w:szCs w:val="24"/>
        </w:rPr>
      </w:pPr>
      <w:r w:rsidRPr="000646B8">
        <w:rPr>
          <w:rFonts w:eastAsia="Times New Roman" w:cs="Arial"/>
          <w:szCs w:val="24"/>
        </w:rPr>
        <w:t xml:space="preserve">Other relevant Health and Social Care Acts </w:t>
      </w:r>
    </w:p>
    <w:p w14:paraId="24CB41C7" w14:textId="77777777" w:rsidR="007F6B01" w:rsidRPr="000646B8" w:rsidRDefault="007F6B01" w:rsidP="007F6B01">
      <w:pPr>
        <w:widowControl w:val="0"/>
        <w:numPr>
          <w:ilvl w:val="0"/>
          <w:numId w:val="16"/>
        </w:numPr>
        <w:spacing w:after="0" w:line="240" w:lineRule="auto"/>
        <w:ind w:left="1701" w:hanging="567"/>
        <w:contextualSpacing/>
        <w:jc w:val="both"/>
        <w:rPr>
          <w:rFonts w:eastAsia="Times New Roman" w:cs="Arial"/>
          <w:szCs w:val="24"/>
        </w:rPr>
      </w:pPr>
      <w:r w:rsidRPr="000646B8">
        <w:rPr>
          <w:rFonts w:eastAsia="Times New Roman" w:cs="Arial"/>
          <w:szCs w:val="24"/>
        </w:rPr>
        <w:t xml:space="preserve">Access to Health Records Act 1990 </w:t>
      </w:r>
    </w:p>
    <w:p w14:paraId="24A7282A" w14:textId="77777777" w:rsidR="007F6B01" w:rsidRPr="000646B8" w:rsidRDefault="007F6B01" w:rsidP="007F6B01">
      <w:pPr>
        <w:widowControl w:val="0"/>
        <w:numPr>
          <w:ilvl w:val="0"/>
          <w:numId w:val="16"/>
        </w:numPr>
        <w:spacing w:after="0" w:line="240" w:lineRule="auto"/>
        <w:ind w:left="1701" w:hanging="567"/>
        <w:contextualSpacing/>
        <w:jc w:val="both"/>
        <w:rPr>
          <w:rFonts w:eastAsia="Times New Roman" w:cs="Arial"/>
          <w:szCs w:val="24"/>
        </w:rPr>
      </w:pPr>
      <w:r w:rsidRPr="000646B8">
        <w:rPr>
          <w:rFonts w:eastAsia="Times New Roman" w:cs="Arial"/>
          <w:szCs w:val="24"/>
        </w:rPr>
        <w:t xml:space="preserve">Fraud Act 2006 </w:t>
      </w:r>
    </w:p>
    <w:p w14:paraId="3BBCA7ED" w14:textId="77777777" w:rsidR="007F6B01" w:rsidRPr="000646B8" w:rsidRDefault="007F6B01" w:rsidP="007F6B01">
      <w:pPr>
        <w:widowControl w:val="0"/>
        <w:numPr>
          <w:ilvl w:val="0"/>
          <w:numId w:val="16"/>
        </w:numPr>
        <w:spacing w:after="0" w:line="240" w:lineRule="auto"/>
        <w:ind w:left="1701" w:hanging="567"/>
        <w:contextualSpacing/>
        <w:jc w:val="both"/>
        <w:rPr>
          <w:rFonts w:eastAsia="Times New Roman" w:cs="Arial"/>
          <w:szCs w:val="24"/>
        </w:rPr>
      </w:pPr>
      <w:r w:rsidRPr="000646B8">
        <w:rPr>
          <w:rFonts w:eastAsia="Times New Roman" w:cs="Arial"/>
          <w:szCs w:val="24"/>
        </w:rPr>
        <w:t xml:space="preserve">Bribery Act 2010 </w:t>
      </w:r>
    </w:p>
    <w:p w14:paraId="4F8312AD" w14:textId="77777777" w:rsidR="007F6B01" w:rsidRPr="000646B8" w:rsidRDefault="007F6B01" w:rsidP="007F6B01">
      <w:pPr>
        <w:widowControl w:val="0"/>
        <w:numPr>
          <w:ilvl w:val="0"/>
          <w:numId w:val="16"/>
        </w:numPr>
        <w:spacing w:after="0" w:line="240" w:lineRule="auto"/>
        <w:ind w:left="1701" w:hanging="567"/>
        <w:contextualSpacing/>
        <w:jc w:val="both"/>
        <w:rPr>
          <w:rFonts w:eastAsia="Times New Roman" w:cs="Arial"/>
          <w:szCs w:val="24"/>
        </w:rPr>
      </w:pPr>
      <w:r w:rsidRPr="000646B8">
        <w:rPr>
          <w:rFonts w:eastAsia="Times New Roman" w:cs="Arial"/>
          <w:szCs w:val="24"/>
        </w:rPr>
        <w:t>Criminal Justice and Immigration Act 2008</w:t>
      </w:r>
    </w:p>
    <w:p w14:paraId="7270600B" w14:textId="77777777" w:rsidR="007F6B01" w:rsidRPr="000646B8" w:rsidRDefault="007F6B01" w:rsidP="007F6B01">
      <w:pPr>
        <w:widowControl w:val="0"/>
        <w:numPr>
          <w:ilvl w:val="0"/>
          <w:numId w:val="16"/>
        </w:numPr>
        <w:spacing w:after="0" w:line="240" w:lineRule="auto"/>
        <w:ind w:left="1701" w:hanging="567"/>
        <w:contextualSpacing/>
        <w:jc w:val="both"/>
        <w:rPr>
          <w:rFonts w:eastAsia="Times New Roman" w:cs="Arial"/>
          <w:szCs w:val="24"/>
        </w:rPr>
      </w:pPr>
      <w:r w:rsidRPr="000646B8">
        <w:rPr>
          <w:rFonts w:eastAsia="Times New Roman" w:cs="Arial"/>
          <w:szCs w:val="24"/>
        </w:rPr>
        <w:t>Equality Act 2010</w:t>
      </w:r>
    </w:p>
    <w:p w14:paraId="5C218719" w14:textId="77777777" w:rsidR="007F6B01" w:rsidRPr="000646B8" w:rsidRDefault="007F6B01" w:rsidP="007F6B01">
      <w:pPr>
        <w:widowControl w:val="0"/>
        <w:numPr>
          <w:ilvl w:val="0"/>
          <w:numId w:val="16"/>
        </w:numPr>
        <w:spacing w:after="0" w:line="240" w:lineRule="auto"/>
        <w:ind w:left="1701" w:hanging="567"/>
        <w:contextualSpacing/>
        <w:jc w:val="both"/>
        <w:rPr>
          <w:rFonts w:eastAsia="Times New Roman" w:cs="Arial"/>
          <w:szCs w:val="24"/>
        </w:rPr>
      </w:pPr>
      <w:r w:rsidRPr="000646B8">
        <w:rPr>
          <w:rFonts w:eastAsia="Times New Roman" w:cs="Arial"/>
          <w:szCs w:val="24"/>
        </w:rPr>
        <w:t>Terrorism Act 2006</w:t>
      </w:r>
    </w:p>
    <w:p w14:paraId="0D48A2BA" w14:textId="77777777" w:rsidR="007F6B01" w:rsidRPr="000646B8" w:rsidRDefault="007F6B01" w:rsidP="007F6B01">
      <w:pPr>
        <w:widowControl w:val="0"/>
        <w:numPr>
          <w:ilvl w:val="0"/>
          <w:numId w:val="16"/>
        </w:numPr>
        <w:spacing w:after="0" w:line="240" w:lineRule="auto"/>
        <w:ind w:left="1701" w:hanging="567"/>
        <w:contextualSpacing/>
        <w:jc w:val="both"/>
        <w:rPr>
          <w:rFonts w:eastAsia="Times New Roman" w:cs="Arial"/>
          <w:szCs w:val="24"/>
        </w:rPr>
      </w:pPr>
      <w:r w:rsidRPr="000646B8">
        <w:rPr>
          <w:rFonts w:eastAsia="Times New Roman" w:cs="Arial"/>
          <w:szCs w:val="24"/>
        </w:rPr>
        <w:t>Malicious Communications Act 1988</w:t>
      </w:r>
    </w:p>
    <w:p w14:paraId="3697687A" w14:textId="77777777" w:rsidR="007F6B01" w:rsidRDefault="007F6B01" w:rsidP="007F6B01">
      <w:pPr>
        <w:widowControl w:val="0"/>
        <w:numPr>
          <w:ilvl w:val="0"/>
          <w:numId w:val="16"/>
        </w:numPr>
        <w:spacing w:after="0" w:line="240" w:lineRule="auto"/>
        <w:ind w:left="1701" w:hanging="567"/>
        <w:contextualSpacing/>
        <w:jc w:val="both"/>
        <w:rPr>
          <w:rFonts w:eastAsia="Times New Roman" w:cs="Arial"/>
          <w:szCs w:val="24"/>
        </w:rPr>
      </w:pPr>
      <w:r w:rsidRPr="000646B8">
        <w:rPr>
          <w:rFonts w:eastAsia="Times New Roman" w:cs="Arial"/>
          <w:szCs w:val="24"/>
        </w:rPr>
        <w:t>Counter-Terrorism and Security Act 2015</w:t>
      </w:r>
    </w:p>
    <w:p w14:paraId="698FDEEB" w14:textId="77777777" w:rsidR="007F6B01" w:rsidRDefault="007F6B01" w:rsidP="007F6B01">
      <w:pPr>
        <w:widowControl w:val="0"/>
        <w:numPr>
          <w:ilvl w:val="0"/>
          <w:numId w:val="16"/>
        </w:numPr>
        <w:spacing w:after="0" w:line="240" w:lineRule="auto"/>
        <w:ind w:left="1701" w:hanging="567"/>
        <w:contextualSpacing/>
        <w:jc w:val="both"/>
        <w:rPr>
          <w:rFonts w:eastAsia="Times New Roman" w:cs="Arial"/>
          <w:szCs w:val="24"/>
        </w:rPr>
      </w:pPr>
      <w:r>
        <w:rPr>
          <w:rFonts w:eastAsia="Times New Roman" w:cs="Arial"/>
          <w:szCs w:val="24"/>
        </w:rPr>
        <w:t>Digital Economy Act 2010 and 2017</w:t>
      </w:r>
    </w:p>
    <w:p w14:paraId="4F67CBF7" w14:textId="77777777" w:rsidR="007F6B01" w:rsidRDefault="007F6B01" w:rsidP="007F6B01">
      <w:pPr>
        <w:widowControl w:val="0"/>
        <w:spacing w:line="240" w:lineRule="auto"/>
        <w:ind w:left="567"/>
        <w:contextualSpacing/>
        <w:jc w:val="both"/>
        <w:rPr>
          <w:rFonts w:eastAsia="Times New Roman" w:cs="Arial"/>
          <w:szCs w:val="24"/>
        </w:rPr>
      </w:pPr>
    </w:p>
    <w:p w14:paraId="5C08A077" w14:textId="77777777" w:rsidR="007F6B01" w:rsidRPr="000646B8" w:rsidRDefault="007F6B01" w:rsidP="007F6B01">
      <w:pPr>
        <w:widowControl w:val="0"/>
        <w:spacing w:line="240" w:lineRule="auto"/>
        <w:ind w:left="567"/>
        <w:contextualSpacing/>
        <w:jc w:val="both"/>
        <w:rPr>
          <w:rFonts w:eastAsia="Times New Roman" w:cs="Arial"/>
          <w:b/>
          <w:color w:val="1C1F63" w:themeColor="accent3"/>
          <w:szCs w:val="24"/>
        </w:rPr>
      </w:pPr>
      <w:r w:rsidRPr="000646B8">
        <w:rPr>
          <w:rFonts w:eastAsia="Times New Roman" w:cs="Arial"/>
          <w:b/>
          <w:color w:val="1C1F63" w:themeColor="accent3"/>
          <w:szCs w:val="24"/>
        </w:rPr>
        <w:t>GUIDANCE</w:t>
      </w:r>
    </w:p>
    <w:p w14:paraId="5200D7FC" w14:textId="77777777" w:rsidR="007F6B01" w:rsidRPr="004D0355" w:rsidRDefault="007F6B01" w:rsidP="007F6B01">
      <w:pPr>
        <w:widowControl w:val="0"/>
        <w:numPr>
          <w:ilvl w:val="0"/>
          <w:numId w:val="17"/>
        </w:numPr>
        <w:spacing w:after="0" w:line="240" w:lineRule="auto"/>
        <w:ind w:left="1701" w:hanging="567"/>
        <w:jc w:val="both"/>
        <w:rPr>
          <w:rFonts w:eastAsia="Times New Roman" w:cs="Arial"/>
          <w:color w:val="0000FF"/>
          <w:szCs w:val="24"/>
        </w:rPr>
      </w:pPr>
      <w:hyperlink r:id="rId17" w:history="1">
        <w:r w:rsidRPr="004D0355">
          <w:rPr>
            <w:rStyle w:val="Hyperlink"/>
            <w:color w:val="0000FF"/>
          </w:rPr>
          <w:t>ICO Guidance</w:t>
        </w:r>
      </w:hyperlink>
      <w:r w:rsidRPr="004D0355">
        <w:rPr>
          <w:color w:val="0000FF"/>
        </w:rPr>
        <w:t xml:space="preserve"> </w:t>
      </w:r>
    </w:p>
    <w:p w14:paraId="056AC7D3" w14:textId="77777777" w:rsidR="007F6B01" w:rsidRPr="004D0355" w:rsidRDefault="007F6B01" w:rsidP="007F6B01">
      <w:pPr>
        <w:widowControl w:val="0"/>
        <w:numPr>
          <w:ilvl w:val="0"/>
          <w:numId w:val="17"/>
        </w:numPr>
        <w:spacing w:after="0" w:line="240" w:lineRule="auto"/>
        <w:ind w:left="1701" w:hanging="567"/>
        <w:jc w:val="both"/>
        <w:rPr>
          <w:rFonts w:eastAsia="Times New Roman" w:cs="Arial"/>
          <w:color w:val="0000FF"/>
          <w:szCs w:val="24"/>
          <w:u w:val="single"/>
        </w:rPr>
      </w:pPr>
      <w:hyperlink r:id="rId18" w:history="1">
        <w:r w:rsidRPr="004D0355">
          <w:rPr>
            <w:rStyle w:val="Hyperlink"/>
            <w:color w:val="0000FF"/>
          </w:rPr>
          <w:t>CQC Code of Practice on Confidential Information</w:t>
        </w:r>
      </w:hyperlink>
      <w:r w:rsidRPr="004D0355">
        <w:rPr>
          <w:color w:val="0000FF"/>
        </w:rPr>
        <w:t xml:space="preserve"> </w:t>
      </w:r>
    </w:p>
    <w:p w14:paraId="6C80A4FE" w14:textId="77777777" w:rsidR="007F6B01" w:rsidRPr="004D0355" w:rsidRDefault="007F6B01" w:rsidP="007F6B01">
      <w:pPr>
        <w:pStyle w:val="NormalBody"/>
        <w:numPr>
          <w:ilvl w:val="0"/>
          <w:numId w:val="17"/>
        </w:numPr>
        <w:ind w:left="1701" w:hanging="567"/>
        <w:jc w:val="both"/>
        <w:rPr>
          <w:color w:val="0000FF"/>
        </w:rPr>
      </w:pPr>
      <w:hyperlink r:id="rId19" w:history="1">
        <w:r w:rsidRPr="004C6F17">
          <w:rPr>
            <w:rFonts w:asciiTheme="minorHAnsi" w:eastAsiaTheme="minorHAnsi" w:hAnsiTheme="minorHAnsi" w:cstheme="minorBidi"/>
            <w:color w:val="0000FF"/>
            <w:u w:val="single"/>
          </w:rPr>
          <w:t>Looking after information - NHS Digital</w:t>
        </w:r>
      </w:hyperlink>
      <w:r w:rsidRPr="004D0355">
        <w:rPr>
          <w:color w:val="0000FF"/>
        </w:rPr>
        <w:t xml:space="preserve"> </w:t>
      </w:r>
    </w:p>
    <w:p w14:paraId="1E469F15" w14:textId="77777777" w:rsidR="007F6B01" w:rsidRPr="0088032B" w:rsidRDefault="007F6B01" w:rsidP="007F6B01">
      <w:pPr>
        <w:widowControl w:val="0"/>
        <w:numPr>
          <w:ilvl w:val="0"/>
          <w:numId w:val="17"/>
        </w:numPr>
        <w:tabs>
          <w:tab w:val="num" w:pos="1701"/>
        </w:tabs>
        <w:spacing w:after="0" w:line="240" w:lineRule="auto"/>
        <w:ind w:left="1701" w:hanging="567"/>
        <w:jc w:val="both"/>
        <w:rPr>
          <w:rFonts w:eastAsia="Times New Roman" w:cs="Arial"/>
          <w:color w:val="0000FF"/>
          <w:szCs w:val="24"/>
        </w:rPr>
      </w:pPr>
      <w:hyperlink r:id="rId20" w:history="1">
        <w:r w:rsidRPr="009F3D47">
          <w:rPr>
            <w:color w:val="0000FF"/>
            <w:u w:val="single"/>
          </w:rPr>
          <w:t>NHS England » Confidentiality Policy</w:t>
        </w:r>
      </w:hyperlink>
    </w:p>
    <w:p w14:paraId="1651B762" w14:textId="77777777" w:rsidR="007F6B01" w:rsidRPr="0088032B" w:rsidRDefault="007F6B01" w:rsidP="007F6B01">
      <w:pPr>
        <w:widowControl w:val="0"/>
        <w:numPr>
          <w:ilvl w:val="0"/>
          <w:numId w:val="17"/>
        </w:numPr>
        <w:tabs>
          <w:tab w:val="num" w:pos="1701"/>
        </w:tabs>
        <w:spacing w:after="0" w:line="240" w:lineRule="auto"/>
        <w:ind w:left="1701" w:hanging="567"/>
        <w:jc w:val="both"/>
        <w:rPr>
          <w:rFonts w:eastAsia="Times New Roman" w:cs="Arial"/>
          <w:color w:val="0000FF"/>
          <w:szCs w:val="24"/>
        </w:rPr>
      </w:pPr>
      <w:hyperlink r:id="rId21" w:history="1">
        <w:r w:rsidRPr="004C6F17">
          <w:rPr>
            <w:color w:val="0000FF"/>
            <w:u w:val="single"/>
          </w:rPr>
          <w:t xml:space="preserve">Records management: code of practice for health and social care - GOV.UK </w:t>
        </w:r>
      </w:hyperlink>
    </w:p>
    <w:p w14:paraId="57F4DA68" w14:textId="77777777" w:rsidR="007F6B01" w:rsidRPr="004D0355" w:rsidRDefault="007F6B01" w:rsidP="007F6B01">
      <w:pPr>
        <w:widowControl w:val="0"/>
        <w:numPr>
          <w:ilvl w:val="0"/>
          <w:numId w:val="17"/>
        </w:numPr>
        <w:tabs>
          <w:tab w:val="num" w:pos="1701"/>
        </w:tabs>
        <w:spacing w:after="0" w:line="240" w:lineRule="auto"/>
        <w:ind w:left="1701" w:hanging="567"/>
        <w:jc w:val="both"/>
        <w:rPr>
          <w:rFonts w:eastAsia="Times New Roman" w:cs="Arial"/>
          <w:color w:val="0000FF"/>
          <w:szCs w:val="24"/>
        </w:rPr>
      </w:pPr>
      <w:hyperlink r:id="rId22" w:history="1">
        <w:r w:rsidRPr="004D0355">
          <w:rPr>
            <w:rFonts w:eastAsia="Times New Roman" w:cs="Arial"/>
            <w:color w:val="0000FF"/>
            <w:szCs w:val="24"/>
            <w:u w:val="single"/>
          </w:rPr>
          <w:t>Confidentiality: NHS Code of Practice - Publications - Inside Government - GOV.UK</w:t>
        </w:r>
      </w:hyperlink>
    </w:p>
    <w:p w14:paraId="676B9D46" w14:textId="77777777" w:rsidR="007F6B01" w:rsidRPr="0088032B" w:rsidRDefault="007F6B01" w:rsidP="007F6B01">
      <w:pPr>
        <w:widowControl w:val="0"/>
        <w:numPr>
          <w:ilvl w:val="0"/>
          <w:numId w:val="17"/>
        </w:numPr>
        <w:autoSpaceDE w:val="0"/>
        <w:autoSpaceDN w:val="0"/>
        <w:adjustRightInd w:val="0"/>
        <w:spacing w:after="0" w:line="240" w:lineRule="auto"/>
        <w:ind w:left="1701" w:hanging="567"/>
        <w:contextualSpacing/>
        <w:jc w:val="both"/>
        <w:rPr>
          <w:rFonts w:eastAsia="Times New Roman" w:cs="Arial"/>
          <w:szCs w:val="24"/>
        </w:rPr>
      </w:pPr>
      <w:hyperlink r:id="rId23" w:history="1">
        <w:r w:rsidRPr="0088032B">
          <w:rPr>
            <w:rFonts w:eastAsia="Times New Roman" w:cs="Arial"/>
            <w:color w:val="0000FF"/>
            <w:szCs w:val="24"/>
            <w:u w:val="single"/>
          </w:rPr>
          <w:t>Confidentiality: NHS Code of Practice - supplementary guidance</w:t>
        </w:r>
      </w:hyperlink>
    </w:p>
    <w:p w14:paraId="267D69F0" w14:textId="77777777" w:rsidR="007F6B01" w:rsidRPr="002A5DB8" w:rsidRDefault="007F6B01" w:rsidP="007F6B01">
      <w:pPr>
        <w:widowControl w:val="0"/>
        <w:numPr>
          <w:ilvl w:val="0"/>
          <w:numId w:val="17"/>
        </w:numPr>
        <w:autoSpaceDE w:val="0"/>
        <w:autoSpaceDN w:val="0"/>
        <w:adjustRightInd w:val="0"/>
        <w:spacing w:after="0" w:line="240" w:lineRule="auto"/>
        <w:ind w:left="1701" w:hanging="567"/>
        <w:contextualSpacing/>
        <w:jc w:val="both"/>
        <w:rPr>
          <w:rFonts w:eastAsia="Times New Roman" w:cs="Arial"/>
          <w:szCs w:val="24"/>
        </w:rPr>
      </w:pPr>
      <w:hyperlink r:id="rId24" w:history="1">
        <w:r w:rsidRPr="0088032B">
          <w:rPr>
            <w:color w:val="0000FF"/>
            <w:u w:val="single"/>
          </w:rPr>
          <w:t>Installing CCTV? Things you need to do first | ICO</w:t>
        </w:r>
      </w:hyperlink>
    </w:p>
    <w:p w14:paraId="3455D80E" w14:textId="77777777" w:rsidR="007F6B01" w:rsidRDefault="007F6B01" w:rsidP="007F6B01">
      <w:pPr>
        <w:widowControl w:val="0"/>
        <w:autoSpaceDE w:val="0"/>
        <w:autoSpaceDN w:val="0"/>
        <w:adjustRightInd w:val="0"/>
        <w:spacing w:line="240" w:lineRule="auto"/>
        <w:contextualSpacing/>
        <w:jc w:val="both"/>
        <w:rPr>
          <w:color w:val="0000FF"/>
          <w:u w:val="single"/>
        </w:rPr>
      </w:pPr>
    </w:p>
    <w:p w14:paraId="5C4E6FF2" w14:textId="77777777" w:rsidR="007F6B01" w:rsidRDefault="007F6B01" w:rsidP="007F6B01">
      <w:pPr>
        <w:widowControl w:val="0"/>
        <w:autoSpaceDE w:val="0"/>
        <w:autoSpaceDN w:val="0"/>
        <w:adjustRightInd w:val="0"/>
        <w:spacing w:line="240" w:lineRule="auto"/>
        <w:contextualSpacing/>
        <w:jc w:val="both"/>
        <w:rPr>
          <w:color w:val="0000FF"/>
          <w:u w:val="single"/>
        </w:rPr>
      </w:pPr>
    </w:p>
    <w:p w14:paraId="49E39FF8" w14:textId="77777777" w:rsidR="007F6B01" w:rsidRDefault="007F6B01" w:rsidP="007F6B01">
      <w:pPr>
        <w:pStyle w:val="ListParagraph"/>
        <w:rPr>
          <w:rFonts w:cs="Arial"/>
          <w:sz w:val="28"/>
          <w:szCs w:val="28"/>
        </w:rPr>
      </w:pPr>
    </w:p>
    <w:p w14:paraId="3C7CC489" w14:textId="77777777" w:rsidR="007F6B01" w:rsidRDefault="007F6B01" w:rsidP="007F6B01"/>
    <w:p w14:paraId="198C94A3" w14:textId="2BC5B862" w:rsidR="007F6B01" w:rsidRDefault="001563B1" w:rsidP="007F6B01">
      <w:pPr>
        <w:pStyle w:val="Heading3"/>
        <w:rPr>
          <w:rFonts w:eastAsia="Times New Roman"/>
        </w:rPr>
      </w:pPr>
      <w:bookmarkStart w:id="38" w:name="_Toc175901308"/>
      <w:bookmarkStart w:id="39" w:name="_Toc176865378"/>
      <w:r>
        <w:rPr>
          <w:rFonts w:eastAsia="Times New Roman"/>
        </w:rPr>
        <w:t>12</w:t>
      </w:r>
      <w:r w:rsidR="007F6B01">
        <w:rPr>
          <w:rFonts w:eastAsia="Times New Roman"/>
        </w:rPr>
        <w:t>.3</w:t>
      </w:r>
      <w:r w:rsidR="007F6B01">
        <w:rPr>
          <w:rFonts w:eastAsia="Times New Roman"/>
        </w:rPr>
        <w:tab/>
        <w:t>Equality and Health Inequality Impact Assessment (EHIA)</w:t>
      </w:r>
      <w:bookmarkEnd w:id="38"/>
      <w:bookmarkEnd w:id="39"/>
    </w:p>
    <w:p w14:paraId="412EF506" w14:textId="77777777" w:rsidR="007F6B01" w:rsidRDefault="007F6B01" w:rsidP="007F6B01"/>
    <w:p w14:paraId="417ACFC8" w14:textId="77777777" w:rsidR="007F6B01" w:rsidRPr="007B3478" w:rsidRDefault="007F6B01" w:rsidP="007F6B01">
      <w:r>
        <w:object w:dxaOrig="1539" w:dyaOrig="997" w14:anchorId="5E496B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77.25pt;height:49.5pt" o:ole="">
            <v:imagedata r:id="rId25" o:title=""/>
          </v:shape>
          <o:OLEObject Type="Embed" ProgID="AcroExch.Document.DC" ShapeID="_x0000_i1053" DrawAspect="Icon" ObjectID="_1787478208" r:id="rId26"/>
        </w:object>
      </w:r>
    </w:p>
    <w:p w14:paraId="55444EBA" w14:textId="77777777" w:rsidR="007F6B01" w:rsidRDefault="007F6B01" w:rsidP="007F6B01"/>
    <w:p w14:paraId="19A2DDA4" w14:textId="77777777" w:rsidR="007F6B01" w:rsidRPr="007F6B01" w:rsidRDefault="007F6B01" w:rsidP="007F6B01"/>
    <w:p w14:paraId="515CA121" w14:textId="39804995" w:rsidR="00B01FD1" w:rsidRDefault="00B01FD1" w:rsidP="00B01FD1">
      <w:pPr>
        <w:pStyle w:val="Heading2"/>
      </w:pPr>
      <w:bookmarkStart w:id="40" w:name="_Toc508611240"/>
      <w:bookmarkStart w:id="41" w:name="_Toc176865379"/>
      <w:r>
        <w:rPr>
          <w:sz w:val="26"/>
        </w:rPr>
        <w:t>13.</w:t>
      </w:r>
      <w:r>
        <w:rPr>
          <w:sz w:val="26"/>
        </w:rPr>
        <w:tab/>
      </w:r>
      <w:bookmarkStart w:id="42" w:name="_Toc175901307"/>
      <w:bookmarkStart w:id="43" w:name="_Hlk175901251"/>
      <w:bookmarkEnd w:id="40"/>
      <w:r>
        <w:t>Implementation Plan</w:t>
      </w:r>
      <w:bookmarkEnd w:id="42"/>
      <w:bookmarkEnd w:id="41"/>
    </w:p>
    <w:bookmarkEnd w:id="43"/>
    <w:p w14:paraId="699E5A22" w14:textId="77777777" w:rsidR="00B01FD1" w:rsidRDefault="00B01FD1" w:rsidP="00B01FD1">
      <w:pPr>
        <w:pStyle w:val="Heading3"/>
        <w:ind w:left="1440"/>
        <w:rPr>
          <w:color w:val="FF0000"/>
        </w:rPr>
      </w:pPr>
    </w:p>
    <w:tbl>
      <w:tblPr>
        <w:tblStyle w:val="TableGrid"/>
        <w:tblW w:w="9293" w:type="dxa"/>
        <w:tblLayout w:type="fixed"/>
        <w:tblLook w:val="0020" w:firstRow="1" w:lastRow="0" w:firstColumn="0" w:lastColumn="0" w:noHBand="0" w:noVBand="0"/>
      </w:tblPr>
      <w:tblGrid>
        <w:gridCol w:w="842"/>
        <w:gridCol w:w="1729"/>
        <w:gridCol w:w="3074"/>
        <w:gridCol w:w="768"/>
        <w:gridCol w:w="768"/>
        <w:gridCol w:w="768"/>
        <w:gridCol w:w="1344"/>
      </w:tblGrid>
      <w:tr w:rsidR="00B01FD1" w:rsidRPr="00991E83" w14:paraId="68296D87" w14:textId="77777777" w:rsidTr="001D6398">
        <w:trPr>
          <w:trHeight w:val="874"/>
        </w:trPr>
        <w:tc>
          <w:tcPr>
            <w:tcW w:w="842" w:type="dxa"/>
          </w:tcPr>
          <w:p w14:paraId="7AF4C0CF" w14:textId="77777777" w:rsidR="00B01FD1" w:rsidRPr="00991E83" w:rsidRDefault="00B01FD1" w:rsidP="001D6398">
            <w:pPr>
              <w:autoSpaceDE w:val="0"/>
              <w:autoSpaceDN w:val="0"/>
              <w:adjustRightInd w:val="0"/>
              <w:rPr>
                <w:color w:val="000000"/>
                <w:sz w:val="18"/>
                <w:szCs w:val="18"/>
              </w:rPr>
            </w:pPr>
            <w:r w:rsidRPr="00991E83">
              <w:rPr>
                <w:b/>
                <w:bCs/>
                <w:color w:val="000000"/>
                <w:sz w:val="18"/>
                <w:szCs w:val="18"/>
              </w:rPr>
              <w:t xml:space="preserve">Target Group </w:t>
            </w:r>
          </w:p>
        </w:tc>
        <w:tc>
          <w:tcPr>
            <w:tcW w:w="1729" w:type="dxa"/>
          </w:tcPr>
          <w:p w14:paraId="1A95CC13" w14:textId="77777777" w:rsidR="00B01FD1" w:rsidRPr="00991E83" w:rsidRDefault="00B01FD1" w:rsidP="001D6398">
            <w:pPr>
              <w:autoSpaceDE w:val="0"/>
              <w:autoSpaceDN w:val="0"/>
              <w:adjustRightInd w:val="0"/>
              <w:rPr>
                <w:color w:val="000000"/>
                <w:sz w:val="18"/>
                <w:szCs w:val="18"/>
              </w:rPr>
            </w:pPr>
            <w:r w:rsidRPr="00991E83">
              <w:rPr>
                <w:b/>
                <w:bCs/>
                <w:color w:val="000000"/>
                <w:sz w:val="18"/>
                <w:szCs w:val="18"/>
              </w:rPr>
              <w:t xml:space="preserve">Implementation or Training objective </w:t>
            </w:r>
          </w:p>
        </w:tc>
        <w:tc>
          <w:tcPr>
            <w:tcW w:w="3074" w:type="dxa"/>
          </w:tcPr>
          <w:p w14:paraId="7FC2A694" w14:textId="77777777" w:rsidR="00B01FD1" w:rsidRPr="00991E83" w:rsidRDefault="00B01FD1" w:rsidP="001D6398">
            <w:pPr>
              <w:autoSpaceDE w:val="0"/>
              <w:autoSpaceDN w:val="0"/>
              <w:adjustRightInd w:val="0"/>
              <w:rPr>
                <w:color w:val="000000"/>
                <w:sz w:val="18"/>
                <w:szCs w:val="18"/>
              </w:rPr>
            </w:pPr>
            <w:r w:rsidRPr="00991E83">
              <w:rPr>
                <w:b/>
                <w:bCs/>
                <w:color w:val="000000"/>
                <w:sz w:val="18"/>
                <w:szCs w:val="18"/>
              </w:rPr>
              <w:t xml:space="preserve">Method </w:t>
            </w:r>
          </w:p>
        </w:tc>
        <w:tc>
          <w:tcPr>
            <w:tcW w:w="768" w:type="dxa"/>
          </w:tcPr>
          <w:p w14:paraId="697D6603" w14:textId="77777777" w:rsidR="00B01FD1" w:rsidRPr="00991E83" w:rsidRDefault="00B01FD1" w:rsidP="001D6398">
            <w:pPr>
              <w:autoSpaceDE w:val="0"/>
              <w:autoSpaceDN w:val="0"/>
              <w:adjustRightInd w:val="0"/>
              <w:rPr>
                <w:color w:val="000000"/>
                <w:sz w:val="18"/>
                <w:szCs w:val="18"/>
              </w:rPr>
            </w:pPr>
            <w:r>
              <w:rPr>
                <w:b/>
                <w:bCs/>
                <w:color w:val="000000"/>
                <w:sz w:val="18"/>
                <w:szCs w:val="18"/>
              </w:rPr>
              <w:t>Lead</w:t>
            </w:r>
            <w:r w:rsidRPr="00991E83">
              <w:rPr>
                <w:b/>
                <w:bCs/>
                <w:color w:val="000000"/>
                <w:sz w:val="18"/>
                <w:szCs w:val="18"/>
              </w:rPr>
              <w:t xml:space="preserve"> </w:t>
            </w:r>
          </w:p>
        </w:tc>
        <w:tc>
          <w:tcPr>
            <w:tcW w:w="768" w:type="dxa"/>
          </w:tcPr>
          <w:p w14:paraId="0ABF70D0" w14:textId="77777777" w:rsidR="00B01FD1" w:rsidRPr="00991E83" w:rsidRDefault="00B01FD1" w:rsidP="001D6398">
            <w:pPr>
              <w:autoSpaceDE w:val="0"/>
              <w:autoSpaceDN w:val="0"/>
              <w:adjustRightInd w:val="0"/>
              <w:rPr>
                <w:color w:val="000000"/>
                <w:sz w:val="18"/>
                <w:szCs w:val="18"/>
              </w:rPr>
            </w:pPr>
            <w:r w:rsidRPr="00991E83">
              <w:rPr>
                <w:b/>
                <w:bCs/>
                <w:color w:val="000000"/>
                <w:sz w:val="18"/>
                <w:szCs w:val="18"/>
              </w:rPr>
              <w:t xml:space="preserve">Target </w:t>
            </w:r>
            <w:r>
              <w:rPr>
                <w:b/>
                <w:bCs/>
                <w:color w:val="000000"/>
                <w:sz w:val="18"/>
                <w:szCs w:val="18"/>
              </w:rPr>
              <w:t xml:space="preserve">start </w:t>
            </w:r>
            <w:r w:rsidRPr="00991E83">
              <w:rPr>
                <w:b/>
                <w:bCs/>
                <w:color w:val="000000"/>
                <w:sz w:val="18"/>
                <w:szCs w:val="18"/>
              </w:rPr>
              <w:t xml:space="preserve">date </w:t>
            </w:r>
          </w:p>
        </w:tc>
        <w:tc>
          <w:tcPr>
            <w:tcW w:w="768" w:type="dxa"/>
          </w:tcPr>
          <w:p w14:paraId="6D57885E" w14:textId="77777777" w:rsidR="00B01FD1" w:rsidRPr="00991E83" w:rsidRDefault="00B01FD1" w:rsidP="001D6398">
            <w:pPr>
              <w:autoSpaceDE w:val="0"/>
              <w:autoSpaceDN w:val="0"/>
              <w:adjustRightInd w:val="0"/>
              <w:rPr>
                <w:color w:val="000000"/>
                <w:sz w:val="18"/>
                <w:szCs w:val="18"/>
              </w:rPr>
            </w:pPr>
            <w:r w:rsidRPr="00991E83">
              <w:rPr>
                <w:b/>
                <w:bCs/>
                <w:color w:val="000000"/>
                <w:sz w:val="18"/>
                <w:szCs w:val="18"/>
              </w:rPr>
              <w:t>Target</w:t>
            </w:r>
            <w:r>
              <w:rPr>
                <w:b/>
                <w:bCs/>
                <w:color w:val="000000"/>
                <w:sz w:val="18"/>
                <w:szCs w:val="18"/>
              </w:rPr>
              <w:t xml:space="preserve"> End </w:t>
            </w:r>
            <w:r w:rsidRPr="00991E83">
              <w:rPr>
                <w:b/>
                <w:bCs/>
                <w:color w:val="000000"/>
                <w:sz w:val="18"/>
                <w:szCs w:val="18"/>
              </w:rPr>
              <w:t xml:space="preserve">date </w:t>
            </w:r>
          </w:p>
        </w:tc>
        <w:tc>
          <w:tcPr>
            <w:tcW w:w="1344" w:type="dxa"/>
          </w:tcPr>
          <w:p w14:paraId="52176FD0" w14:textId="77777777" w:rsidR="00B01FD1" w:rsidRPr="00991E83" w:rsidRDefault="00B01FD1" w:rsidP="001D6398">
            <w:pPr>
              <w:autoSpaceDE w:val="0"/>
              <w:autoSpaceDN w:val="0"/>
              <w:adjustRightInd w:val="0"/>
              <w:rPr>
                <w:color w:val="000000"/>
                <w:sz w:val="18"/>
                <w:szCs w:val="18"/>
              </w:rPr>
            </w:pPr>
            <w:r w:rsidRPr="00991E83">
              <w:rPr>
                <w:b/>
                <w:bCs/>
                <w:color w:val="000000"/>
                <w:sz w:val="18"/>
                <w:szCs w:val="18"/>
              </w:rPr>
              <w:t xml:space="preserve">Resources Required </w:t>
            </w:r>
          </w:p>
        </w:tc>
      </w:tr>
      <w:tr w:rsidR="00B01FD1" w:rsidRPr="00991E83" w14:paraId="648530B0" w14:textId="77777777" w:rsidTr="001D6398">
        <w:trPr>
          <w:trHeight w:val="413"/>
        </w:trPr>
        <w:tc>
          <w:tcPr>
            <w:tcW w:w="842" w:type="dxa"/>
          </w:tcPr>
          <w:p w14:paraId="185BD49F" w14:textId="77777777" w:rsidR="00B01FD1" w:rsidRPr="00991E83" w:rsidRDefault="00B01FD1" w:rsidP="001D6398">
            <w:pPr>
              <w:autoSpaceDE w:val="0"/>
              <w:autoSpaceDN w:val="0"/>
              <w:adjustRightInd w:val="0"/>
              <w:rPr>
                <w:color w:val="000000"/>
                <w:sz w:val="18"/>
                <w:szCs w:val="18"/>
              </w:rPr>
            </w:pPr>
            <w:r>
              <w:rPr>
                <w:color w:val="000000"/>
                <w:sz w:val="18"/>
                <w:szCs w:val="18"/>
              </w:rPr>
              <w:t>All staff</w:t>
            </w:r>
          </w:p>
        </w:tc>
        <w:tc>
          <w:tcPr>
            <w:tcW w:w="1729" w:type="dxa"/>
          </w:tcPr>
          <w:p w14:paraId="15F8A5EA" w14:textId="77777777" w:rsidR="00B01FD1" w:rsidRPr="00991E83" w:rsidRDefault="00B01FD1" w:rsidP="001D6398">
            <w:pPr>
              <w:autoSpaceDE w:val="0"/>
              <w:autoSpaceDN w:val="0"/>
              <w:adjustRightInd w:val="0"/>
              <w:rPr>
                <w:color w:val="000000"/>
                <w:sz w:val="18"/>
                <w:szCs w:val="18"/>
              </w:rPr>
            </w:pPr>
            <w:r>
              <w:rPr>
                <w:color w:val="000000"/>
                <w:sz w:val="18"/>
                <w:szCs w:val="18"/>
              </w:rPr>
              <w:t>The Voice</w:t>
            </w:r>
          </w:p>
        </w:tc>
        <w:tc>
          <w:tcPr>
            <w:tcW w:w="3074" w:type="dxa"/>
          </w:tcPr>
          <w:p w14:paraId="7F01C6CA" w14:textId="77777777" w:rsidR="00B01FD1" w:rsidRPr="00991E83" w:rsidRDefault="00B01FD1" w:rsidP="001D6398">
            <w:pPr>
              <w:autoSpaceDE w:val="0"/>
              <w:autoSpaceDN w:val="0"/>
              <w:adjustRightInd w:val="0"/>
              <w:rPr>
                <w:color w:val="000000"/>
                <w:sz w:val="18"/>
                <w:szCs w:val="18"/>
              </w:rPr>
            </w:pPr>
            <w:r>
              <w:rPr>
                <w:color w:val="000000"/>
                <w:sz w:val="18"/>
                <w:szCs w:val="18"/>
              </w:rPr>
              <w:t>Request content included</w:t>
            </w:r>
          </w:p>
        </w:tc>
        <w:tc>
          <w:tcPr>
            <w:tcW w:w="768" w:type="dxa"/>
          </w:tcPr>
          <w:p w14:paraId="023429D9" w14:textId="77777777" w:rsidR="00B01FD1" w:rsidRPr="00991E83" w:rsidRDefault="00B01FD1" w:rsidP="001D6398">
            <w:pPr>
              <w:autoSpaceDE w:val="0"/>
              <w:autoSpaceDN w:val="0"/>
              <w:adjustRightInd w:val="0"/>
              <w:rPr>
                <w:color w:val="000000"/>
                <w:sz w:val="18"/>
                <w:szCs w:val="18"/>
              </w:rPr>
            </w:pPr>
            <w:r>
              <w:rPr>
                <w:color w:val="000000"/>
                <w:sz w:val="18"/>
                <w:szCs w:val="18"/>
              </w:rPr>
              <w:t>AG</w:t>
            </w:r>
          </w:p>
        </w:tc>
        <w:tc>
          <w:tcPr>
            <w:tcW w:w="768" w:type="dxa"/>
          </w:tcPr>
          <w:p w14:paraId="2636240E" w14:textId="77777777" w:rsidR="00B01FD1" w:rsidRPr="00991E83" w:rsidRDefault="00B01FD1" w:rsidP="001D6398">
            <w:pPr>
              <w:autoSpaceDE w:val="0"/>
              <w:autoSpaceDN w:val="0"/>
              <w:adjustRightInd w:val="0"/>
              <w:rPr>
                <w:color w:val="000000"/>
                <w:sz w:val="18"/>
                <w:szCs w:val="18"/>
              </w:rPr>
            </w:pPr>
            <w:r>
              <w:rPr>
                <w:color w:val="000000"/>
                <w:sz w:val="18"/>
                <w:szCs w:val="18"/>
              </w:rPr>
              <w:t>Sept 2024</w:t>
            </w:r>
          </w:p>
        </w:tc>
        <w:tc>
          <w:tcPr>
            <w:tcW w:w="768" w:type="dxa"/>
          </w:tcPr>
          <w:p w14:paraId="0611E5BD" w14:textId="77777777" w:rsidR="00B01FD1" w:rsidRPr="00991E83" w:rsidRDefault="00B01FD1" w:rsidP="001D6398">
            <w:pPr>
              <w:autoSpaceDE w:val="0"/>
              <w:autoSpaceDN w:val="0"/>
              <w:adjustRightInd w:val="0"/>
              <w:rPr>
                <w:color w:val="000000"/>
                <w:sz w:val="18"/>
                <w:szCs w:val="18"/>
              </w:rPr>
            </w:pPr>
            <w:r>
              <w:rPr>
                <w:color w:val="000000"/>
                <w:sz w:val="18"/>
                <w:szCs w:val="18"/>
              </w:rPr>
              <w:t>Sept 2024</w:t>
            </w:r>
          </w:p>
        </w:tc>
        <w:tc>
          <w:tcPr>
            <w:tcW w:w="1344" w:type="dxa"/>
          </w:tcPr>
          <w:p w14:paraId="77A73410" w14:textId="77777777" w:rsidR="00B01FD1" w:rsidRPr="00991E83" w:rsidRDefault="00B01FD1" w:rsidP="001D6398">
            <w:pPr>
              <w:autoSpaceDE w:val="0"/>
              <w:autoSpaceDN w:val="0"/>
              <w:adjustRightInd w:val="0"/>
              <w:rPr>
                <w:color w:val="000000"/>
                <w:sz w:val="18"/>
                <w:szCs w:val="18"/>
              </w:rPr>
            </w:pPr>
            <w:r>
              <w:rPr>
                <w:color w:val="000000"/>
                <w:sz w:val="18"/>
                <w:szCs w:val="18"/>
              </w:rPr>
              <w:t>None</w:t>
            </w:r>
          </w:p>
        </w:tc>
      </w:tr>
      <w:tr w:rsidR="00B01FD1" w:rsidRPr="00991E83" w14:paraId="741DF632" w14:textId="77777777" w:rsidTr="001D6398">
        <w:trPr>
          <w:trHeight w:val="350"/>
        </w:trPr>
        <w:tc>
          <w:tcPr>
            <w:tcW w:w="842" w:type="dxa"/>
          </w:tcPr>
          <w:p w14:paraId="64A9B8E9" w14:textId="77777777" w:rsidR="00B01FD1" w:rsidRPr="00991E83" w:rsidRDefault="00B01FD1" w:rsidP="001D6398">
            <w:pPr>
              <w:autoSpaceDE w:val="0"/>
              <w:autoSpaceDN w:val="0"/>
              <w:adjustRightInd w:val="0"/>
              <w:rPr>
                <w:color w:val="000000"/>
                <w:sz w:val="18"/>
                <w:szCs w:val="18"/>
              </w:rPr>
            </w:pPr>
            <w:r>
              <w:rPr>
                <w:color w:val="000000"/>
                <w:sz w:val="18"/>
                <w:szCs w:val="18"/>
              </w:rPr>
              <w:t xml:space="preserve">All staff </w:t>
            </w:r>
          </w:p>
        </w:tc>
        <w:tc>
          <w:tcPr>
            <w:tcW w:w="1729" w:type="dxa"/>
          </w:tcPr>
          <w:p w14:paraId="5E27AED7" w14:textId="77777777" w:rsidR="00B01FD1" w:rsidRPr="00991E83" w:rsidRDefault="00B01FD1" w:rsidP="001D6398">
            <w:pPr>
              <w:autoSpaceDE w:val="0"/>
              <w:autoSpaceDN w:val="0"/>
              <w:adjustRightInd w:val="0"/>
              <w:rPr>
                <w:color w:val="000000"/>
                <w:sz w:val="18"/>
                <w:szCs w:val="18"/>
              </w:rPr>
            </w:pPr>
            <w:r>
              <w:rPr>
                <w:color w:val="000000"/>
                <w:sz w:val="18"/>
                <w:szCs w:val="18"/>
              </w:rPr>
              <w:t>To ensure document is available</w:t>
            </w:r>
          </w:p>
        </w:tc>
        <w:tc>
          <w:tcPr>
            <w:tcW w:w="3074" w:type="dxa"/>
          </w:tcPr>
          <w:p w14:paraId="336B5309" w14:textId="77777777" w:rsidR="00B01FD1" w:rsidRPr="00991E83" w:rsidRDefault="00B01FD1" w:rsidP="001D6398">
            <w:pPr>
              <w:autoSpaceDE w:val="0"/>
              <w:autoSpaceDN w:val="0"/>
              <w:adjustRightInd w:val="0"/>
              <w:rPr>
                <w:color w:val="000000"/>
                <w:sz w:val="18"/>
                <w:szCs w:val="18"/>
              </w:rPr>
            </w:pPr>
            <w:r>
              <w:rPr>
                <w:color w:val="000000"/>
                <w:sz w:val="18"/>
                <w:szCs w:val="18"/>
              </w:rPr>
              <w:t>The Hub</w:t>
            </w:r>
          </w:p>
        </w:tc>
        <w:tc>
          <w:tcPr>
            <w:tcW w:w="768" w:type="dxa"/>
          </w:tcPr>
          <w:p w14:paraId="375D4D72" w14:textId="77777777" w:rsidR="00B01FD1" w:rsidRPr="00991E83" w:rsidRDefault="00B01FD1" w:rsidP="001D6398">
            <w:pPr>
              <w:autoSpaceDE w:val="0"/>
              <w:autoSpaceDN w:val="0"/>
              <w:adjustRightInd w:val="0"/>
              <w:rPr>
                <w:color w:val="000000"/>
                <w:sz w:val="18"/>
                <w:szCs w:val="18"/>
              </w:rPr>
            </w:pPr>
            <w:r>
              <w:rPr>
                <w:color w:val="000000"/>
                <w:sz w:val="18"/>
                <w:szCs w:val="18"/>
              </w:rPr>
              <w:t>AG</w:t>
            </w:r>
          </w:p>
        </w:tc>
        <w:tc>
          <w:tcPr>
            <w:tcW w:w="768" w:type="dxa"/>
          </w:tcPr>
          <w:p w14:paraId="1170EBB4" w14:textId="77777777" w:rsidR="00B01FD1" w:rsidRPr="00991E83" w:rsidRDefault="00B01FD1" w:rsidP="001D6398">
            <w:pPr>
              <w:autoSpaceDE w:val="0"/>
              <w:autoSpaceDN w:val="0"/>
              <w:adjustRightInd w:val="0"/>
              <w:rPr>
                <w:color w:val="000000"/>
                <w:sz w:val="18"/>
                <w:szCs w:val="18"/>
              </w:rPr>
            </w:pPr>
            <w:r>
              <w:rPr>
                <w:color w:val="000000"/>
                <w:sz w:val="18"/>
                <w:szCs w:val="18"/>
              </w:rPr>
              <w:t>Aug 2024</w:t>
            </w:r>
          </w:p>
        </w:tc>
        <w:tc>
          <w:tcPr>
            <w:tcW w:w="768" w:type="dxa"/>
          </w:tcPr>
          <w:p w14:paraId="340F1156" w14:textId="77777777" w:rsidR="00B01FD1" w:rsidRPr="00991E83" w:rsidRDefault="00B01FD1" w:rsidP="001D6398">
            <w:pPr>
              <w:autoSpaceDE w:val="0"/>
              <w:autoSpaceDN w:val="0"/>
              <w:adjustRightInd w:val="0"/>
              <w:rPr>
                <w:color w:val="000000"/>
                <w:sz w:val="18"/>
                <w:szCs w:val="18"/>
              </w:rPr>
            </w:pPr>
            <w:r>
              <w:rPr>
                <w:color w:val="000000"/>
                <w:sz w:val="18"/>
                <w:szCs w:val="18"/>
              </w:rPr>
              <w:t>Aug 2024</w:t>
            </w:r>
          </w:p>
        </w:tc>
        <w:tc>
          <w:tcPr>
            <w:tcW w:w="1344" w:type="dxa"/>
          </w:tcPr>
          <w:p w14:paraId="4118EBE1" w14:textId="77777777" w:rsidR="00B01FD1" w:rsidRPr="00991E83" w:rsidRDefault="00B01FD1" w:rsidP="001D6398">
            <w:pPr>
              <w:autoSpaceDE w:val="0"/>
              <w:autoSpaceDN w:val="0"/>
              <w:adjustRightInd w:val="0"/>
              <w:rPr>
                <w:color w:val="000000"/>
                <w:sz w:val="18"/>
                <w:szCs w:val="18"/>
              </w:rPr>
            </w:pPr>
            <w:r>
              <w:rPr>
                <w:color w:val="000000"/>
                <w:sz w:val="18"/>
                <w:szCs w:val="18"/>
              </w:rPr>
              <w:t>None</w:t>
            </w:r>
          </w:p>
        </w:tc>
      </w:tr>
      <w:tr w:rsidR="00B01FD1" w:rsidRPr="00991E83" w14:paraId="659C047E" w14:textId="77777777" w:rsidTr="001D6398">
        <w:trPr>
          <w:trHeight w:val="350"/>
        </w:trPr>
        <w:tc>
          <w:tcPr>
            <w:tcW w:w="842" w:type="dxa"/>
          </w:tcPr>
          <w:p w14:paraId="3C7AC5BD" w14:textId="77777777" w:rsidR="00B01FD1" w:rsidRPr="00991E83" w:rsidRDefault="00B01FD1" w:rsidP="001D6398">
            <w:pPr>
              <w:autoSpaceDE w:val="0"/>
              <w:autoSpaceDN w:val="0"/>
              <w:adjustRightInd w:val="0"/>
              <w:rPr>
                <w:color w:val="000000"/>
                <w:sz w:val="18"/>
                <w:szCs w:val="18"/>
              </w:rPr>
            </w:pPr>
            <w:r>
              <w:rPr>
                <w:color w:val="000000"/>
                <w:sz w:val="18"/>
                <w:szCs w:val="18"/>
              </w:rPr>
              <w:t>IAO/IAA</w:t>
            </w:r>
          </w:p>
        </w:tc>
        <w:tc>
          <w:tcPr>
            <w:tcW w:w="1729" w:type="dxa"/>
          </w:tcPr>
          <w:p w14:paraId="4D00BAF3" w14:textId="77777777" w:rsidR="00B01FD1" w:rsidRPr="00991E83" w:rsidRDefault="00B01FD1" w:rsidP="001D6398">
            <w:pPr>
              <w:autoSpaceDE w:val="0"/>
              <w:autoSpaceDN w:val="0"/>
              <w:adjustRightInd w:val="0"/>
              <w:rPr>
                <w:color w:val="000000"/>
                <w:sz w:val="18"/>
                <w:szCs w:val="18"/>
              </w:rPr>
            </w:pPr>
            <w:r>
              <w:rPr>
                <w:color w:val="000000"/>
                <w:sz w:val="18"/>
                <w:szCs w:val="18"/>
              </w:rPr>
              <w:t>Awareness</w:t>
            </w:r>
          </w:p>
        </w:tc>
        <w:tc>
          <w:tcPr>
            <w:tcW w:w="3074" w:type="dxa"/>
          </w:tcPr>
          <w:p w14:paraId="3010ED92" w14:textId="77777777" w:rsidR="00B01FD1" w:rsidRPr="00991E83" w:rsidRDefault="00B01FD1" w:rsidP="001D6398">
            <w:pPr>
              <w:autoSpaceDE w:val="0"/>
              <w:autoSpaceDN w:val="0"/>
              <w:adjustRightInd w:val="0"/>
              <w:rPr>
                <w:color w:val="000000"/>
                <w:sz w:val="18"/>
                <w:szCs w:val="18"/>
              </w:rPr>
            </w:pPr>
            <w:r>
              <w:rPr>
                <w:color w:val="000000"/>
                <w:sz w:val="18"/>
                <w:szCs w:val="18"/>
              </w:rPr>
              <w:t>IAO/IAA Meeting</w:t>
            </w:r>
          </w:p>
        </w:tc>
        <w:tc>
          <w:tcPr>
            <w:tcW w:w="768" w:type="dxa"/>
          </w:tcPr>
          <w:p w14:paraId="1476C618" w14:textId="77777777" w:rsidR="00B01FD1" w:rsidRPr="00991E83" w:rsidRDefault="00B01FD1" w:rsidP="001D6398">
            <w:pPr>
              <w:autoSpaceDE w:val="0"/>
              <w:autoSpaceDN w:val="0"/>
              <w:adjustRightInd w:val="0"/>
              <w:rPr>
                <w:color w:val="000000"/>
                <w:sz w:val="18"/>
                <w:szCs w:val="18"/>
              </w:rPr>
            </w:pPr>
            <w:r>
              <w:rPr>
                <w:color w:val="000000"/>
                <w:sz w:val="18"/>
                <w:szCs w:val="18"/>
              </w:rPr>
              <w:t>AG</w:t>
            </w:r>
          </w:p>
        </w:tc>
        <w:tc>
          <w:tcPr>
            <w:tcW w:w="768" w:type="dxa"/>
          </w:tcPr>
          <w:p w14:paraId="2B9A4835" w14:textId="77777777" w:rsidR="00B01FD1" w:rsidRPr="00991E83" w:rsidRDefault="00B01FD1" w:rsidP="001D6398">
            <w:pPr>
              <w:autoSpaceDE w:val="0"/>
              <w:autoSpaceDN w:val="0"/>
              <w:adjustRightInd w:val="0"/>
              <w:rPr>
                <w:color w:val="000000"/>
                <w:sz w:val="18"/>
                <w:szCs w:val="18"/>
              </w:rPr>
            </w:pPr>
            <w:r>
              <w:rPr>
                <w:color w:val="000000"/>
                <w:sz w:val="18"/>
                <w:szCs w:val="18"/>
              </w:rPr>
              <w:t>Sept 2024</w:t>
            </w:r>
          </w:p>
        </w:tc>
        <w:tc>
          <w:tcPr>
            <w:tcW w:w="768" w:type="dxa"/>
          </w:tcPr>
          <w:p w14:paraId="58D0E9A7" w14:textId="77777777" w:rsidR="00B01FD1" w:rsidRPr="00991E83" w:rsidRDefault="00B01FD1" w:rsidP="001D6398">
            <w:pPr>
              <w:autoSpaceDE w:val="0"/>
              <w:autoSpaceDN w:val="0"/>
              <w:adjustRightInd w:val="0"/>
              <w:rPr>
                <w:color w:val="000000"/>
                <w:sz w:val="18"/>
                <w:szCs w:val="18"/>
              </w:rPr>
            </w:pPr>
            <w:r>
              <w:rPr>
                <w:color w:val="000000"/>
                <w:sz w:val="18"/>
                <w:szCs w:val="18"/>
              </w:rPr>
              <w:t>Sept 2024</w:t>
            </w:r>
          </w:p>
        </w:tc>
        <w:tc>
          <w:tcPr>
            <w:tcW w:w="1344" w:type="dxa"/>
          </w:tcPr>
          <w:p w14:paraId="61A081AF" w14:textId="77777777" w:rsidR="00B01FD1" w:rsidRPr="00991E83" w:rsidRDefault="00B01FD1" w:rsidP="001D6398">
            <w:pPr>
              <w:autoSpaceDE w:val="0"/>
              <w:autoSpaceDN w:val="0"/>
              <w:adjustRightInd w:val="0"/>
              <w:rPr>
                <w:color w:val="000000"/>
                <w:sz w:val="18"/>
                <w:szCs w:val="18"/>
              </w:rPr>
            </w:pPr>
          </w:p>
        </w:tc>
      </w:tr>
      <w:tr w:rsidR="00B01FD1" w:rsidRPr="00991E83" w14:paraId="309DCCB0" w14:textId="77777777" w:rsidTr="001D6398">
        <w:trPr>
          <w:trHeight w:val="350"/>
        </w:trPr>
        <w:tc>
          <w:tcPr>
            <w:tcW w:w="842" w:type="dxa"/>
          </w:tcPr>
          <w:p w14:paraId="2D654186" w14:textId="77777777" w:rsidR="00B01FD1" w:rsidRPr="00991E83" w:rsidRDefault="00B01FD1" w:rsidP="001D6398">
            <w:pPr>
              <w:autoSpaceDE w:val="0"/>
              <w:autoSpaceDN w:val="0"/>
              <w:adjustRightInd w:val="0"/>
              <w:rPr>
                <w:color w:val="000000"/>
                <w:sz w:val="18"/>
                <w:szCs w:val="18"/>
              </w:rPr>
            </w:pPr>
          </w:p>
        </w:tc>
        <w:tc>
          <w:tcPr>
            <w:tcW w:w="1729" w:type="dxa"/>
          </w:tcPr>
          <w:p w14:paraId="208F6CCD" w14:textId="77777777" w:rsidR="00B01FD1" w:rsidRPr="00991E83" w:rsidRDefault="00B01FD1" w:rsidP="001D6398">
            <w:pPr>
              <w:autoSpaceDE w:val="0"/>
              <w:autoSpaceDN w:val="0"/>
              <w:adjustRightInd w:val="0"/>
              <w:rPr>
                <w:color w:val="000000"/>
                <w:sz w:val="18"/>
                <w:szCs w:val="18"/>
              </w:rPr>
            </w:pPr>
          </w:p>
        </w:tc>
        <w:tc>
          <w:tcPr>
            <w:tcW w:w="3074" w:type="dxa"/>
          </w:tcPr>
          <w:p w14:paraId="394DB403" w14:textId="77777777" w:rsidR="00B01FD1" w:rsidRPr="00991E83" w:rsidRDefault="00B01FD1" w:rsidP="001D6398">
            <w:pPr>
              <w:autoSpaceDE w:val="0"/>
              <w:autoSpaceDN w:val="0"/>
              <w:adjustRightInd w:val="0"/>
              <w:rPr>
                <w:color w:val="000000"/>
                <w:sz w:val="18"/>
                <w:szCs w:val="18"/>
              </w:rPr>
            </w:pPr>
          </w:p>
        </w:tc>
        <w:tc>
          <w:tcPr>
            <w:tcW w:w="768" w:type="dxa"/>
          </w:tcPr>
          <w:p w14:paraId="74FFB220" w14:textId="77777777" w:rsidR="00B01FD1" w:rsidRPr="00991E83" w:rsidRDefault="00B01FD1" w:rsidP="001D6398">
            <w:pPr>
              <w:autoSpaceDE w:val="0"/>
              <w:autoSpaceDN w:val="0"/>
              <w:adjustRightInd w:val="0"/>
              <w:rPr>
                <w:color w:val="000000"/>
                <w:sz w:val="18"/>
                <w:szCs w:val="18"/>
              </w:rPr>
            </w:pPr>
          </w:p>
        </w:tc>
        <w:tc>
          <w:tcPr>
            <w:tcW w:w="768" w:type="dxa"/>
          </w:tcPr>
          <w:p w14:paraId="10616A11" w14:textId="77777777" w:rsidR="00B01FD1" w:rsidRPr="00991E83" w:rsidRDefault="00B01FD1" w:rsidP="001D6398">
            <w:pPr>
              <w:autoSpaceDE w:val="0"/>
              <w:autoSpaceDN w:val="0"/>
              <w:adjustRightInd w:val="0"/>
              <w:rPr>
                <w:color w:val="000000"/>
                <w:sz w:val="18"/>
                <w:szCs w:val="18"/>
              </w:rPr>
            </w:pPr>
          </w:p>
        </w:tc>
        <w:tc>
          <w:tcPr>
            <w:tcW w:w="768" w:type="dxa"/>
          </w:tcPr>
          <w:p w14:paraId="042ECC25" w14:textId="77777777" w:rsidR="00B01FD1" w:rsidRPr="00991E83" w:rsidRDefault="00B01FD1" w:rsidP="001D6398">
            <w:pPr>
              <w:autoSpaceDE w:val="0"/>
              <w:autoSpaceDN w:val="0"/>
              <w:adjustRightInd w:val="0"/>
              <w:rPr>
                <w:color w:val="000000"/>
                <w:sz w:val="18"/>
                <w:szCs w:val="18"/>
              </w:rPr>
            </w:pPr>
          </w:p>
        </w:tc>
        <w:tc>
          <w:tcPr>
            <w:tcW w:w="1344" w:type="dxa"/>
          </w:tcPr>
          <w:p w14:paraId="125A633D" w14:textId="77777777" w:rsidR="00B01FD1" w:rsidRPr="00991E83" w:rsidRDefault="00B01FD1" w:rsidP="001D6398">
            <w:pPr>
              <w:autoSpaceDE w:val="0"/>
              <w:autoSpaceDN w:val="0"/>
              <w:adjustRightInd w:val="0"/>
              <w:rPr>
                <w:color w:val="000000"/>
                <w:sz w:val="18"/>
                <w:szCs w:val="18"/>
              </w:rPr>
            </w:pPr>
          </w:p>
        </w:tc>
      </w:tr>
    </w:tbl>
    <w:p w14:paraId="509D0DDD" w14:textId="77777777" w:rsidR="00B01FD1" w:rsidRDefault="00B01FD1" w:rsidP="00B01FD1"/>
    <w:bookmarkEnd w:id="16"/>
    <w:p w14:paraId="678208B8" w14:textId="77777777" w:rsidR="001D49CF" w:rsidRPr="00336203" w:rsidRDefault="001D49CF" w:rsidP="00CD34FB">
      <w:pPr>
        <w:spacing w:after="500"/>
        <w:rPr>
          <w:color w:val="C00000"/>
        </w:rPr>
      </w:pPr>
    </w:p>
    <w:sectPr w:rsidR="001D49CF" w:rsidRPr="00336203" w:rsidSect="00951EFB">
      <w:headerReference w:type="default" r:id="rId27"/>
      <w:footerReference w:type="even" r:id="rId28"/>
      <w:footerReference w:type="default" r:id="rId29"/>
      <w:headerReference w:type="first" r:id="rId30"/>
      <w:footerReference w:type="first" r:id="rId31"/>
      <w:pgSz w:w="11909" w:h="16834" w:code="9"/>
      <w:pgMar w:top="1702" w:right="1080" w:bottom="993" w:left="108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A6748E" w14:textId="77777777" w:rsidR="00CD7ECF" w:rsidRPr="00EF3A62" w:rsidRDefault="00CD7ECF" w:rsidP="008F7D93">
      <w:r w:rsidRPr="00EF3A62">
        <w:separator/>
      </w:r>
    </w:p>
  </w:endnote>
  <w:endnote w:type="continuationSeparator" w:id="0">
    <w:p w14:paraId="60A532FB" w14:textId="77777777" w:rsidR="00CD7ECF" w:rsidRPr="00EF3A62" w:rsidRDefault="00CD7ECF" w:rsidP="008F7D93">
      <w:r w:rsidRPr="00EF3A62">
        <w:continuationSeparator/>
      </w:r>
    </w:p>
  </w:endnote>
  <w:endnote w:type="continuationNotice" w:id="1">
    <w:p w14:paraId="240682AD" w14:textId="77777777" w:rsidR="00CD7ECF" w:rsidRPr="00EF3A62" w:rsidRDefault="00CD7ECF" w:rsidP="008F7D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D6D820" w14:textId="77777777" w:rsidR="00C46028" w:rsidRPr="00EF3A62" w:rsidRDefault="00C46028">
    <w:pPr>
      <w:spacing w:after="0" w:line="240" w:lineRule="auto"/>
    </w:pPr>
  </w:p>
  <w:p w14:paraId="7B9CD49D" w14:textId="77777777" w:rsidR="00FD228A" w:rsidRDefault="00FD228A"/>
  <w:p w14:paraId="4D88B1A9" w14:textId="77777777" w:rsidR="00FD228A" w:rsidRDefault="00FD228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36698450"/>
      <w:docPartObj>
        <w:docPartGallery w:val="Page Numbers (Bottom of Page)"/>
        <w:docPartUnique/>
      </w:docPartObj>
    </w:sdtPr>
    <w:sdtEndPr/>
    <w:sdtContent>
      <w:p w14:paraId="1187C805" w14:textId="77777777" w:rsidR="00392DE3" w:rsidRPr="00EF3A62" w:rsidRDefault="00392DE3" w:rsidP="00392DE3">
        <w:pPr>
          <w:pStyle w:val="Footer"/>
          <w:jc w:val="center"/>
        </w:pPr>
      </w:p>
      <w:p w14:paraId="28CBBBB5" w14:textId="353D5E8B" w:rsidR="00420AAD" w:rsidRPr="00EF3A62" w:rsidRDefault="00392DE3" w:rsidP="00420AAD">
        <w:pPr>
          <w:pStyle w:val="Footer"/>
          <w:jc w:val="center"/>
        </w:pPr>
        <w:r w:rsidRPr="00EF3A62">
          <w:fldChar w:fldCharType="begin"/>
        </w:r>
        <w:r w:rsidRPr="00EF3A62">
          <w:instrText xml:space="preserve"> PAGE   \* MERGEFORMAT </w:instrText>
        </w:r>
        <w:r w:rsidRPr="00EF3A62">
          <w:fldChar w:fldCharType="separate"/>
        </w:r>
        <w:r w:rsidRPr="00EF3A62">
          <w:t>2</w:t>
        </w:r>
        <w:r w:rsidRPr="00EF3A62">
          <w:fldChar w:fldCharType="end"/>
        </w:r>
        <w:r w:rsidR="00420AAD" w:rsidRPr="00EF3A62">
          <w:rPr>
            <w:noProof/>
          </w:rPr>
          <w:drawing>
            <wp:anchor distT="0" distB="0" distL="114300" distR="114300" simplePos="0" relativeHeight="251658246" behindDoc="1" locked="0" layoutInCell="1" allowOverlap="1" wp14:anchorId="3FFAA61E" wp14:editId="76C510A9">
              <wp:simplePos x="0" y="0"/>
              <wp:positionH relativeFrom="column">
                <wp:posOffset>0</wp:posOffset>
              </wp:positionH>
              <wp:positionV relativeFrom="paragraph">
                <wp:posOffset>104140</wp:posOffset>
              </wp:positionV>
              <wp:extent cx="1816100" cy="220980"/>
              <wp:effectExtent l="0" t="0" r="0" b="7620"/>
              <wp:wrapNone/>
              <wp:docPr id="5179382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299287" name="Picture 464299287"/>
                      <pic:cNvPicPr/>
                    </pic:nvPicPr>
                    <pic:blipFill>
                      <a:blip r:embed="rId1">
                        <a:extLst>
                          <a:ext uri="{28A0092B-C50C-407E-A947-70E740481C1C}">
                            <a14:useLocalDpi xmlns:a14="http://schemas.microsoft.com/office/drawing/2010/main" val="0"/>
                          </a:ext>
                        </a:extLst>
                      </a:blip>
                      <a:stretch>
                        <a:fillRect/>
                      </a:stretch>
                    </pic:blipFill>
                    <pic:spPr>
                      <a:xfrm>
                        <a:off x="0" y="0"/>
                        <a:ext cx="1816100" cy="220980"/>
                      </a:xfrm>
                      <a:prstGeom prst="rect">
                        <a:avLst/>
                      </a:prstGeom>
                    </pic:spPr>
                  </pic:pic>
                </a:graphicData>
              </a:graphic>
            </wp:anchor>
          </w:drawing>
        </w:r>
      </w:p>
      <w:p w14:paraId="32998FD8" w14:textId="4CB213A9" w:rsidR="00392DE3" w:rsidRPr="00EF3A62" w:rsidRDefault="004206FD" w:rsidP="00420AAD">
        <w:pPr>
          <w:pStyle w:val="Footer"/>
          <w:tabs>
            <w:tab w:val="clear" w:pos="4680"/>
            <w:tab w:val="clear" w:pos="9360"/>
            <w:tab w:val="left" w:pos="8220"/>
          </w:tabs>
          <w:jc w:val="right"/>
        </w:pPr>
        <w:r w:rsidRPr="00EF3A62">
          <w:rPr>
            <w:noProof/>
          </w:rPr>
          <w:drawing>
            <wp:anchor distT="0" distB="0" distL="114300" distR="114300" simplePos="0" relativeHeight="251658240" behindDoc="0" locked="0" layoutInCell="1" allowOverlap="1" wp14:anchorId="3713CEEE" wp14:editId="106D1841">
              <wp:simplePos x="0" y="0"/>
              <wp:positionH relativeFrom="page">
                <wp:posOffset>-6485</wp:posOffset>
              </wp:positionH>
              <wp:positionV relativeFrom="page">
                <wp:posOffset>10642059</wp:posOffset>
              </wp:positionV>
              <wp:extent cx="7586345" cy="64297"/>
              <wp:effectExtent l="0" t="0" r="0" b="0"/>
              <wp:wrapSquare wrapText="bothSides"/>
              <wp:docPr id="18996350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flipV="1">
                        <a:off x="0" y="0"/>
                        <a:ext cx="7586345" cy="64297"/>
                      </a:xfrm>
                      <a:prstGeom prst="rect">
                        <a:avLst/>
                      </a:prstGeom>
                      <a:noFill/>
                      <a:ln>
                        <a:noFill/>
                      </a:ln>
                    </pic:spPr>
                  </pic:pic>
                </a:graphicData>
              </a:graphic>
              <wp14:sizeRelH relativeFrom="page">
                <wp14:pctWidth>0</wp14:pctWidth>
              </wp14:sizeRelH>
              <wp14:sizeRelV relativeFrom="page">
                <wp14:pctHeight>0</wp14:pctHeight>
              </wp14:sizeRelV>
            </wp:anchor>
          </w:drawing>
        </w:r>
        <w:r w:rsidR="004A27F2">
          <w:tab/>
        </w:r>
        <w:r w:rsidR="001563B1">
          <w:rPr>
            <w:sz w:val="24"/>
            <w:szCs w:val="24"/>
          </w:rPr>
          <w:t>Information Governance Management Framework</w:t>
        </w:r>
      </w:p>
    </w:sdtContent>
  </w:sdt>
  <w:p w14:paraId="2A2C6C56" w14:textId="77777777" w:rsidR="00FD228A" w:rsidRDefault="00FD228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26555078"/>
      <w:docPartObj>
        <w:docPartGallery w:val="Page Numbers (Bottom of Page)"/>
        <w:docPartUnique/>
      </w:docPartObj>
    </w:sdtPr>
    <w:sdtEndPr/>
    <w:sdtContent>
      <w:p w14:paraId="3310FC49" w14:textId="77777777" w:rsidR="00656198" w:rsidRPr="00EF3A62" w:rsidRDefault="00656198" w:rsidP="00656198">
        <w:pPr>
          <w:pStyle w:val="Footer"/>
          <w:jc w:val="center"/>
        </w:pPr>
      </w:p>
      <w:p w14:paraId="2DAB3C96" w14:textId="77777777" w:rsidR="00656198" w:rsidRPr="00EF3A62" w:rsidRDefault="00656198" w:rsidP="00656198">
        <w:pPr>
          <w:pStyle w:val="Footer"/>
          <w:jc w:val="center"/>
        </w:pPr>
        <w:r w:rsidRPr="00EF3A62">
          <w:fldChar w:fldCharType="begin"/>
        </w:r>
        <w:r w:rsidRPr="00EF3A62">
          <w:instrText xml:space="preserve"> PAGE   \* MERGEFORMAT </w:instrText>
        </w:r>
        <w:r w:rsidRPr="00EF3A62">
          <w:fldChar w:fldCharType="separate"/>
        </w:r>
        <w:r>
          <w:t>2</w:t>
        </w:r>
        <w:r w:rsidRPr="00EF3A62">
          <w:fldChar w:fldCharType="end"/>
        </w:r>
      </w:p>
      <w:p w14:paraId="511026D9" w14:textId="77777777" w:rsidR="00656198" w:rsidRDefault="00656198" w:rsidP="00656198">
        <w:pPr>
          <w:pStyle w:val="Footer"/>
        </w:pPr>
        <w:r w:rsidRPr="00EF3A62">
          <w:rPr>
            <w:noProof/>
          </w:rPr>
          <w:drawing>
            <wp:inline distT="0" distB="0" distL="0" distR="0" wp14:anchorId="63B70214" wp14:editId="7ED79B1E">
              <wp:extent cx="1816100" cy="221484"/>
              <wp:effectExtent l="0" t="0" r="0" b="7620"/>
              <wp:docPr id="9912155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299287" name="Picture 464299287"/>
                      <pic:cNvPicPr/>
                    </pic:nvPicPr>
                    <pic:blipFill>
                      <a:blip r:embed="rId1">
                        <a:extLst>
                          <a:ext uri="{28A0092B-C50C-407E-A947-70E740481C1C}">
                            <a14:useLocalDpi xmlns:a14="http://schemas.microsoft.com/office/drawing/2010/main" val="0"/>
                          </a:ext>
                        </a:extLst>
                      </a:blip>
                      <a:stretch>
                        <a:fillRect/>
                      </a:stretch>
                    </pic:blipFill>
                    <pic:spPr>
                      <a:xfrm>
                        <a:off x="0" y="0"/>
                        <a:ext cx="1929045" cy="235258"/>
                      </a:xfrm>
                      <a:prstGeom prst="rect">
                        <a:avLst/>
                      </a:prstGeom>
                    </pic:spPr>
                  </pic:pic>
                </a:graphicData>
              </a:graphic>
            </wp:inline>
          </w:drawing>
        </w:r>
        <w:r w:rsidRPr="00EF3A62">
          <w:rPr>
            <w:noProof/>
          </w:rPr>
          <w:drawing>
            <wp:anchor distT="0" distB="0" distL="114300" distR="114300" simplePos="0" relativeHeight="251658245" behindDoc="0" locked="0" layoutInCell="1" allowOverlap="1" wp14:anchorId="3066D6A5" wp14:editId="74453E72">
              <wp:simplePos x="0" y="0"/>
              <wp:positionH relativeFrom="page">
                <wp:posOffset>-6485</wp:posOffset>
              </wp:positionH>
              <wp:positionV relativeFrom="page">
                <wp:posOffset>10642059</wp:posOffset>
              </wp:positionV>
              <wp:extent cx="7586345" cy="64297"/>
              <wp:effectExtent l="0" t="0" r="0" b="0"/>
              <wp:wrapSquare wrapText="bothSides"/>
              <wp:docPr id="21434813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flipV="1">
                        <a:off x="0" y="0"/>
                        <a:ext cx="7586345" cy="64297"/>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14:paraId="49779347" w14:textId="77777777" w:rsidR="00FD228A" w:rsidRDefault="00FD228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56D27E" w14:textId="77777777" w:rsidR="00CD7ECF" w:rsidRPr="00EF3A62" w:rsidRDefault="00CD7ECF" w:rsidP="008F7D93">
      <w:r w:rsidRPr="00EF3A62">
        <w:separator/>
      </w:r>
    </w:p>
  </w:footnote>
  <w:footnote w:type="continuationSeparator" w:id="0">
    <w:p w14:paraId="527530D6" w14:textId="77777777" w:rsidR="00CD7ECF" w:rsidRPr="00EF3A62" w:rsidRDefault="00CD7ECF" w:rsidP="008F7D93">
      <w:r w:rsidRPr="00EF3A62">
        <w:continuationSeparator/>
      </w:r>
    </w:p>
  </w:footnote>
  <w:footnote w:type="continuationNotice" w:id="1">
    <w:p w14:paraId="3830B025" w14:textId="77777777" w:rsidR="00CD7ECF" w:rsidRPr="00EF3A62" w:rsidRDefault="00CD7ECF" w:rsidP="008F7D9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EFAA5A" w14:textId="6CC9441B" w:rsidR="0043401F" w:rsidRPr="00EF3A62" w:rsidRDefault="00DA13B8">
    <w:pPr>
      <w:pStyle w:val="Header"/>
    </w:pPr>
    <w:r w:rsidRPr="00EF3A62">
      <w:rPr>
        <w:noProof/>
      </w:rPr>
      <w:drawing>
        <wp:anchor distT="0" distB="0" distL="114300" distR="114300" simplePos="0" relativeHeight="251658241" behindDoc="0" locked="0" layoutInCell="1" allowOverlap="1" wp14:anchorId="7C75C362" wp14:editId="2361295A">
          <wp:simplePos x="0" y="0"/>
          <wp:positionH relativeFrom="column">
            <wp:posOffset>4976703</wp:posOffset>
          </wp:positionH>
          <wp:positionV relativeFrom="paragraph">
            <wp:posOffset>361950</wp:posOffset>
          </wp:positionV>
          <wp:extent cx="1246297" cy="412750"/>
          <wp:effectExtent l="0" t="0" r="0" b="6350"/>
          <wp:wrapNone/>
          <wp:docPr id="170680668" name="Picture 3" descr="A picture containing text&#10;&#10;Description automatically generated">
            <a:extLst xmlns:a="http://schemas.openxmlformats.org/drawingml/2006/main">
              <a:ext uri="{FF2B5EF4-FFF2-40B4-BE49-F238E27FC236}">
                <a16:creationId xmlns:a16="http://schemas.microsoft.com/office/drawing/2014/main" id="{13EA0114-AFC9-EFE9-49C9-3DD10D377A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text&#10;&#10;Description automatically generated">
                    <a:extLst>
                      <a:ext uri="{FF2B5EF4-FFF2-40B4-BE49-F238E27FC236}">
                        <a16:creationId xmlns:a16="http://schemas.microsoft.com/office/drawing/2014/main" id="{13EA0114-AFC9-EFE9-49C9-3DD10D377A56}"/>
                      </a:ext>
                    </a:extLst>
                  </pic:cNvP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9457" cy="4137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F3A62">
      <w:rPr>
        <w:noProof/>
      </w:rPr>
      <w:drawing>
        <wp:anchor distT="0" distB="0" distL="114300" distR="114300" simplePos="0" relativeHeight="251658242" behindDoc="0" locked="0" layoutInCell="1" allowOverlap="1" wp14:anchorId="333785E6" wp14:editId="2A33F285">
          <wp:simplePos x="0" y="0"/>
          <wp:positionH relativeFrom="column">
            <wp:posOffset>101600</wp:posOffset>
          </wp:positionH>
          <wp:positionV relativeFrom="paragraph">
            <wp:posOffset>361950</wp:posOffset>
          </wp:positionV>
          <wp:extent cx="1028747" cy="355600"/>
          <wp:effectExtent l="0" t="0" r="0" b="6350"/>
          <wp:wrapNone/>
          <wp:docPr id="333828434" name="Picture 4">
            <a:extLst xmlns:a="http://schemas.openxmlformats.org/drawingml/2006/main">
              <a:ext uri="{FF2B5EF4-FFF2-40B4-BE49-F238E27FC236}">
                <a16:creationId xmlns:a16="http://schemas.microsoft.com/office/drawing/2014/main" id="{5C1A0F92-DDED-9265-61FA-0DD484E47E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931390" name="Picture 4">
                    <a:extLst>
                      <a:ext uri="{FF2B5EF4-FFF2-40B4-BE49-F238E27FC236}">
                        <a16:creationId xmlns:a16="http://schemas.microsoft.com/office/drawing/2014/main" id="{5C1A0F92-DDED-9265-61FA-0DD484E47E53}"/>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bwMode="auto">
                  <a:xfrm>
                    <a:off x="0" y="0"/>
                    <a:ext cx="1028747" cy="35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1CA04E" w14:textId="77777777" w:rsidR="00FD228A" w:rsidRDefault="00FD228A"/>
  <w:p w14:paraId="5892CB46" w14:textId="77777777" w:rsidR="00FD228A" w:rsidRDefault="00FD228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27B70C" w14:textId="0DA27A20" w:rsidR="004203CB" w:rsidRPr="00EF3A62" w:rsidRDefault="004203CB" w:rsidP="008F7D93">
    <w:pPr>
      <w:pStyle w:val="Header"/>
    </w:pPr>
  </w:p>
  <w:p w14:paraId="11E00D22" w14:textId="2E6F262C" w:rsidR="004C45E6" w:rsidRPr="00EF3A62" w:rsidRDefault="00656198" w:rsidP="008F7D93">
    <w:pPr>
      <w:pStyle w:val="Header"/>
    </w:pPr>
    <w:r w:rsidRPr="00EF3A62">
      <w:rPr>
        <w:noProof/>
      </w:rPr>
      <w:drawing>
        <wp:anchor distT="0" distB="0" distL="114300" distR="114300" simplePos="0" relativeHeight="251658244" behindDoc="0" locked="0" layoutInCell="1" allowOverlap="1" wp14:anchorId="57054495" wp14:editId="1972CC56">
          <wp:simplePos x="0" y="0"/>
          <wp:positionH relativeFrom="column">
            <wp:posOffset>0</wp:posOffset>
          </wp:positionH>
          <wp:positionV relativeFrom="paragraph">
            <wp:posOffset>110490</wp:posOffset>
          </wp:positionV>
          <wp:extent cx="3145790" cy="688340"/>
          <wp:effectExtent l="0" t="0" r="0" b="0"/>
          <wp:wrapNone/>
          <wp:docPr id="1280784265" name="Picture 4" descr="A black background with blue text&#10;&#10;Description automatically generated">
            <a:extLst xmlns:a="http://schemas.openxmlformats.org/drawingml/2006/main">
              <a:ext uri="{FF2B5EF4-FFF2-40B4-BE49-F238E27FC236}">
                <a16:creationId xmlns:a16="http://schemas.microsoft.com/office/drawing/2014/main" id="{5C1A0F92-DDED-9265-61FA-0DD484E47E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black background with blue text&#10;&#10;Description automatically generated">
                    <a:extLst>
                      <a:ext uri="{FF2B5EF4-FFF2-40B4-BE49-F238E27FC236}">
                        <a16:creationId xmlns:a16="http://schemas.microsoft.com/office/drawing/2014/main" id="{5C1A0F92-DDED-9265-61FA-0DD484E47E53}"/>
                      </a:ext>
                    </a:extLst>
                  </pic:cNvP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5790" cy="688340"/>
                  </a:xfrm>
                  <a:prstGeom prst="rect">
                    <a:avLst/>
                  </a:prstGeom>
                  <a:noFill/>
                  <a:ln>
                    <a:noFill/>
                  </a:ln>
                </pic:spPr>
              </pic:pic>
            </a:graphicData>
          </a:graphic>
        </wp:anchor>
      </w:drawing>
    </w:r>
    <w:r w:rsidRPr="00EF3A62">
      <w:rPr>
        <w:noProof/>
      </w:rPr>
      <w:drawing>
        <wp:anchor distT="0" distB="0" distL="114300" distR="114300" simplePos="0" relativeHeight="251658243" behindDoc="0" locked="0" layoutInCell="1" allowOverlap="1" wp14:anchorId="2E095319" wp14:editId="68912354">
          <wp:simplePos x="0" y="0"/>
          <wp:positionH relativeFrom="column">
            <wp:posOffset>4159885</wp:posOffset>
          </wp:positionH>
          <wp:positionV relativeFrom="paragraph">
            <wp:posOffset>114300</wp:posOffset>
          </wp:positionV>
          <wp:extent cx="2065020" cy="683895"/>
          <wp:effectExtent l="0" t="0" r="0" b="1905"/>
          <wp:wrapNone/>
          <wp:docPr id="2106029463" name="Picture 3" descr="A picture containing text&#10;&#10;Description automatically generated">
            <a:extLst xmlns:a="http://schemas.openxmlformats.org/drawingml/2006/main">
              <a:ext uri="{FF2B5EF4-FFF2-40B4-BE49-F238E27FC236}">
                <a16:creationId xmlns:a16="http://schemas.microsoft.com/office/drawing/2014/main" id="{13EA0114-AFC9-EFE9-49C9-3DD10D377A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text&#10;&#10;Description automatically generated">
                    <a:extLst>
                      <a:ext uri="{FF2B5EF4-FFF2-40B4-BE49-F238E27FC236}">
                        <a16:creationId xmlns:a16="http://schemas.microsoft.com/office/drawing/2014/main" id="{13EA0114-AFC9-EFE9-49C9-3DD10D377A56}"/>
                      </a:ext>
                    </a:extLst>
                  </pic:cNvPr>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65020" cy="683895"/>
                  </a:xfrm>
                  <a:prstGeom prst="rect">
                    <a:avLst/>
                  </a:prstGeom>
                  <a:noFill/>
                  <a:ln>
                    <a:noFill/>
                  </a:ln>
                </pic:spPr>
              </pic:pic>
            </a:graphicData>
          </a:graphic>
        </wp:anchor>
      </w:drawing>
    </w:r>
  </w:p>
  <w:p w14:paraId="53B99A1C" w14:textId="77777777" w:rsidR="00FD228A" w:rsidRDefault="00FD228A"/>
  <w:p w14:paraId="6D918FA1" w14:textId="77777777" w:rsidR="00FD228A" w:rsidRDefault="00FD228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C686D"/>
    <w:multiLevelType w:val="hybridMultilevel"/>
    <w:tmpl w:val="BDAC04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F1A017C"/>
    <w:multiLevelType w:val="hybridMultilevel"/>
    <w:tmpl w:val="A8C03706"/>
    <w:lvl w:ilvl="0" w:tplc="5A8894B2">
      <w:start w:val="1"/>
      <w:numFmt w:val="bullet"/>
      <w:pStyle w:val="Bullets"/>
      <w:lvlText w:val=""/>
      <w:lvlJc w:val="left"/>
      <w:pPr>
        <w:ind w:left="-720" w:hanging="360"/>
      </w:pPr>
      <w:rPr>
        <w:rFonts w:ascii="Symbol" w:hAnsi="Symbol" w:hint="default"/>
        <w:color w:val="1C1F63"/>
        <w:u w:color="1C1F63" w:themeColor="text1"/>
      </w:rPr>
    </w:lvl>
    <w:lvl w:ilvl="1" w:tplc="6256E598">
      <w:start w:val="1"/>
      <w:numFmt w:val="bullet"/>
      <w:lvlText w:val=""/>
      <w:lvlJc w:val="left"/>
      <w:pPr>
        <w:ind w:left="0" w:hanging="360"/>
      </w:pPr>
      <w:rPr>
        <w:rFonts w:ascii="Wingdings" w:hAnsi="Wingdings" w:hint="default"/>
        <w:color w:val="1C1F63"/>
      </w:rPr>
    </w:lvl>
    <w:lvl w:ilvl="2" w:tplc="08090005" w:tentative="1">
      <w:start w:val="1"/>
      <w:numFmt w:val="bullet"/>
      <w:lvlText w:val=""/>
      <w:lvlJc w:val="left"/>
      <w:pPr>
        <w:ind w:left="720" w:hanging="360"/>
      </w:pPr>
      <w:rPr>
        <w:rFonts w:ascii="Wingdings" w:hAnsi="Wingdings" w:hint="default"/>
      </w:rPr>
    </w:lvl>
    <w:lvl w:ilvl="3" w:tplc="08090001" w:tentative="1">
      <w:start w:val="1"/>
      <w:numFmt w:val="bullet"/>
      <w:lvlText w:val=""/>
      <w:lvlJc w:val="left"/>
      <w:pPr>
        <w:ind w:left="1440" w:hanging="360"/>
      </w:pPr>
      <w:rPr>
        <w:rFonts w:ascii="Symbol" w:hAnsi="Symbol" w:hint="default"/>
      </w:rPr>
    </w:lvl>
    <w:lvl w:ilvl="4" w:tplc="08090003" w:tentative="1">
      <w:start w:val="1"/>
      <w:numFmt w:val="bullet"/>
      <w:lvlText w:val="o"/>
      <w:lvlJc w:val="left"/>
      <w:pPr>
        <w:ind w:left="2160" w:hanging="360"/>
      </w:pPr>
      <w:rPr>
        <w:rFonts w:ascii="Courier New" w:hAnsi="Courier New" w:cs="Courier New" w:hint="default"/>
      </w:rPr>
    </w:lvl>
    <w:lvl w:ilvl="5" w:tplc="08090005" w:tentative="1">
      <w:start w:val="1"/>
      <w:numFmt w:val="bullet"/>
      <w:lvlText w:val=""/>
      <w:lvlJc w:val="left"/>
      <w:pPr>
        <w:ind w:left="2880" w:hanging="360"/>
      </w:pPr>
      <w:rPr>
        <w:rFonts w:ascii="Wingdings" w:hAnsi="Wingdings" w:hint="default"/>
      </w:rPr>
    </w:lvl>
    <w:lvl w:ilvl="6" w:tplc="08090001" w:tentative="1">
      <w:start w:val="1"/>
      <w:numFmt w:val="bullet"/>
      <w:lvlText w:val=""/>
      <w:lvlJc w:val="left"/>
      <w:pPr>
        <w:ind w:left="3600" w:hanging="360"/>
      </w:pPr>
      <w:rPr>
        <w:rFonts w:ascii="Symbol" w:hAnsi="Symbol" w:hint="default"/>
      </w:rPr>
    </w:lvl>
    <w:lvl w:ilvl="7" w:tplc="08090003" w:tentative="1">
      <w:start w:val="1"/>
      <w:numFmt w:val="bullet"/>
      <w:lvlText w:val="o"/>
      <w:lvlJc w:val="left"/>
      <w:pPr>
        <w:ind w:left="4320" w:hanging="360"/>
      </w:pPr>
      <w:rPr>
        <w:rFonts w:ascii="Courier New" w:hAnsi="Courier New" w:cs="Courier New" w:hint="default"/>
      </w:rPr>
    </w:lvl>
    <w:lvl w:ilvl="8" w:tplc="08090005" w:tentative="1">
      <w:start w:val="1"/>
      <w:numFmt w:val="bullet"/>
      <w:lvlText w:val=""/>
      <w:lvlJc w:val="left"/>
      <w:pPr>
        <w:ind w:left="5040" w:hanging="360"/>
      </w:pPr>
      <w:rPr>
        <w:rFonts w:ascii="Wingdings" w:hAnsi="Wingdings" w:hint="default"/>
      </w:rPr>
    </w:lvl>
  </w:abstractNum>
  <w:abstractNum w:abstractNumId="2" w15:restartNumberingAfterBreak="0">
    <w:nsid w:val="1AF14AB1"/>
    <w:multiLevelType w:val="hybridMultilevel"/>
    <w:tmpl w:val="AFA840E2"/>
    <w:lvl w:ilvl="0" w:tplc="08090001">
      <w:start w:val="1"/>
      <w:numFmt w:val="bullet"/>
      <w:lvlText w:val=""/>
      <w:lvlJc w:val="left"/>
      <w:pPr>
        <w:ind w:left="-1458" w:hanging="360"/>
      </w:pPr>
      <w:rPr>
        <w:rFonts w:ascii="Symbol" w:hAnsi="Symbol" w:hint="default"/>
        <w:color w:val="auto"/>
      </w:rPr>
    </w:lvl>
    <w:lvl w:ilvl="1" w:tplc="08090003" w:tentative="1">
      <w:start w:val="1"/>
      <w:numFmt w:val="bullet"/>
      <w:lvlText w:val="o"/>
      <w:lvlJc w:val="left"/>
      <w:pPr>
        <w:ind w:left="-738" w:hanging="360"/>
      </w:pPr>
      <w:rPr>
        <w:rFonts w:ascii="Courier New" w:hAnsi="Courier New" w:cs="Courier New" w:hint="default"/>
      </w:rPr>
    </w:lvl>
    <w:lvl w:ilvl="2" w:tplc="08090005" w:tentative="1">
      <w:start w:val="1"/>
      <w:numFmt w:val="bullet"/>
      <w:lvlText w:val=""/>
      <w:lvlJc w:val="left"/>
      <w:pPr>
        <w:ind w:left="-18" w:hanging="360"/>
      </w:pPr>
      <w:rPr>
        <w:rFonts w:ascii="Wingdings" w:hAnsi="Wingdings" w:hint="default"/>
      </w:rPr>
    </w:lvl>
    <w:lvl w:ilvl="3" w:tplc="08090001" w:tentative="1">
      <w:start w:val="1"/>
      <w:numFmt w:val="bullet"/>
      <w:lvlText w:val=""/>
      <w:lvlJc w:val="left"/>
      <w:pPr>
        <w:ind w:left="702" w:hanging="360"/>
      </w:pPr>
      <w:rPr>
        <w:rFonts w:ascii="Symbol" w:hAnsi="Symbol" w:hint="default"/>
      </w:rPr>
    </w:lvl>
    <w:lvl w:ilvl="4" w:tplc="08090003" w:tentative="1">
      <w:start w:val="1"/>
      <w:numFmt w:val="bullet"/>
      <w:lvlText w:val="o"/>
      <w:lvlJc w:val="left"/>
      <w:pPr>
        <w:ind w:left="1422" w:hanging="360"/>
      </w:pPr>
      <w:rPr>
        <w:rFonts w:ascii="Courier New" w:hAnsi="Courier New" w:cs="Courier New" w:hint="default"/>
      </w:rPr>
    </w:lvl>
    <w:lvl w:ilvl="5" w:tplc="08090005" w:tentative="1">
      <w:start w:val="1"/>
      <w:numFmt w:val="bullet"/>
      <w:lvlText w:val=""/>
      <w:lvlJc w:val="left"/>
      <w:pPr>
        <w:ind w:left="2142" w:hanging="360"/>
      </w:pPr>
      <w:rPr>
        <w:rFonts w:ascii="Wingdings" w:hAnsi="Wingdings" w:hint="default"/>
      </w:rPr>
    </w:lvl>
    <w:lvl w:ilvl="6" w:tplc="08090001" w:tentative="1">
      <w:start w:val="1"/>
      <w:numFmt w:val="bullet"/>
      <w:lvlText w:val=""/>
      <w:lvlJc w:val="left"/>
      <w:pPr>
        <w:ind w:left="2862" w:hanging="360"/>
      </w:pPr>
      <w:rPr>
        <w:rFonts w:ascii="Symbol" w:hAnsi="Symbol" w:hint="default"/>
      </w:rPr>
    </w:lvl>
    <w:lvl w:ilvl="7" w:tplc="08090003" w:tentative="1">
      <w:start w:val="1"/>
      <w:numFmt w:val="bullet"/>
      <w:lvlText w:val="o"/>
      <w:lvlJc w:val="left"/>
      <w:pPr>
        <w:ind w:left="3582" w:hanging="360"/>
      </w:pPr>
      <w:rPr>
        <w:rFonts w:ascii="Courier New" w:hAnsi="Courier New" w:cs="Courier New" w:hint="default"/>
      </w:rPr>
    </w:lvl>
    <w:lvl w:ilvl="8" w:tplc="08090005" w:tentative="1">
      <w:start w:val="1"/>
      <w:numFmt w:val="bullet"/>
      <w:lvlText w:val=""/>
      <w:lvlJc w:val="left"/>
      <w:pPr>
        <w:ind w:left="4302" w:hanging="360"/>
      </w:pPr>
      <w:rPr>
        <w:rFonts w:ascii="Wingdings" w:hAnsi="Wingdings" w:hint="default"/>
      </w:rPr>
    </w:lvl>
  </w:abstractNum>
  <w:abstractNum w:abstractNumId="3" w15:restartNumberingAfterBreak="0">
    <w:nsid w:val="265C4B06"/>
    <w:multiLevelType w:val="hybridMultilevel"/>
    <w:tmpl w:val="2254389C"/>
    <w:lvl w:ilvl="0" w:tplc="BCC8F06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2F64489D"/>
    <w:multiLevelType w:val="hybridMultilevel"/>
    <w:tmpl w:val="2E1EAE2C"/>
    <w:lvl w:ilvl="0" w:tplc="6E4022A0">
      <w:start w:val="1"/>
      <w:numFmt w:val="decimal"/>
      <w:lvlText w:val="%1"/>
      <w:lvlJc w:val="left"/>
      <w:pPr>
        <w:ind w:left="720" w:hanging="360"/>
      </w:pPr>
      <w:rPr>
        <w:rFonts w:hint="default"/>
        <w:sz w:val="28"/>
        <w:szCs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1051E8"/>
    <w:multiLevelType w:val="multilevel"/>
    <w:tmpl w:val="8F22A68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6" w15:restartNumberingAfterBreak="0">
    <w:nsid w:val="34794A3B"/>
    <w:multiLevelType w:val="hybridMultilevel"/>
    <w:tmpl w:val="ED86CE9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6D96AD4"/>
    <w:multiLevelType w:val="hybridMultilevel"/>
    <w:tmpl w:val="AD08AF0A"/>
    <w:lvl w:ilvl="0" w:tplc="C86C5A0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58E1E46"/>
    <w:multiLevelType w:val="hybridMultilevel"/>
    <w:tmpl w:val="2208E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CE53BD4"/>
    <w:multiLevelType w:val="hybridMultilevel"/>
    <w:tmpl w:val="C3481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EB2434A"/>
    <w:multiLevelType w:val="hybridMultilevel"/>
    <w:tmpl w:val="E056CB1C"/>
    <w:lvl w:ilvl="0" w:tplc="96AA64B6">
      <w:start w:val="1"/>
      <w:numFmt w:val="decimal"/>
      <w:lvlText w:val="1.%1"/>
      <w:lvlJc w:val="left"/>
      <w:pPr>
        <w:ind w:left="720" w:hanging="360"/>
      </w:pPr>
      <w:rPr>
        <w:rFonts w:hint="default"/>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1655019"/>
    <w:multiLevelType w:val="hybridMultilevel"/>
    <w:tmpl w:val="1680838E"/>
    <w:lvl w:ilvl="0" w:tplc="9F9E0C64">
      <w:start w:val="1"/>
      <w:numFmt w:val="bullet"/>
      <w:lvlText w:val=""/>
      <w:lvlJc w:val="left"/>
      <w:pPr>
        <w:ind w:left="1134" w:hanging="567"/>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start w:val="1"/>
      <w:numFmt w:val="bullet"/>
      <w:lvlText w:val=""/>
      <w:lvlJc w:val="left"/>
      <w:pPr>
        <w:tabs>
          <w:tab w:val="num" w:pos="3240"/>
        </w:tabs>
        <w:ind w:left="3240" w:hanging="360"/>
      </w:pPr>
      <w:rPr>
        <w:rFonts w:ascii="Symbol" w:hAnsi="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hint="default"/>
      </w:rPr>
    </w:lvl>
    <w:lvl w:ilvl="6" w:tplc="08090001">
      <w:start w:val="1"/>
      <w:numFmt w:val="bullet"/>
      <w:lvlText w:val=""/>
      <w:lvlJc w:val="left"/>
      <w:pPr>
        <w:tabs>
          <w:tab w:val="num" w:pos="5400"/>
        </w:tabs>
        <w:ind w:left="5400" w:hanging="360"/>
      </w:pPr>
      <w:rPr>
        <w:rFonts w:ascii="Symbol" w:hAnsi="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595018E4"/>
    <w:multiLevelType w:val="hybridMultilevel"/>
    <w:tmpl w:val="3468066E"/>
    <w:lvl w:ilvl="0" w:tplc="08090001">
      <w:start w:val="1"/>
      <w:numFmt w:val="bullet"/>
      <w:lvlText w:val=""/>
      <w:lvlJc w:val="left"/>
      <w:pPr>
        <w:ind w:left="720" w:hanging="360"/>
      </w:pPr>
      <w:rPr>
        <w:rFonts w:ascii="Symbol" w:hAnsi="Symbol" w:hint="default"/>
      </w:rPr>
    </w:lvl>
    <w:lvl w:ilvl="1" w:tplc="FC0E50B6">
      <w:numFmt w:val="bullet"/>
      <w:lvlText w:val="•"/>
      <w:lvlJc w:val="left"/>
      <w:pPr>
        <w:ind w:left="1800" w:hanging="720"/>
      </w:pPr>
      <w:rPr>
        <w:rFonts w:ascii="Calibri" w:eastAsia="Times New Roman" w:hAnsi="Calibri"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A8606BF"/>
    <w:multiLevelType w:val="hybridMultilevel"/>
    <w:tmpl w:val="02189A00"/>
    <w:lvl w:ilvl="0" w:tplc="22E40FDC">
      <w:start w:val="1"/>
      <w:numFmt w:val="bullet"/>
      <w:lvlText w:val=""/>
      <w:lvlJc w:val="left"/>
      <w:pPr>
        <w:ind w:left="1440" w:hanging="360"/>
      </w:pPr>
      <w:rPr>
        <w:rFonts w:ascii="Symbol" w:hAnsi="Symbol" w:hint="default"/>
        <w:u w:color="1C1F63"/>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611E0438"/>
    <w:multiLevelType w:val="multilevel"/>
    <w:tmpl w:val="35FED5BA"/>
    <w:lvl w:ilvl="0">
      <w:start w:val="12"/>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656B0F79"/>
    <w:multiLevelType w:val="hybridMultilevel"/>
    <w:tmpl w:val="82AA1156"/>
    <w:lvl w:ilvl="0" w:tplc="E2821F8E">
      <w:start w:val="1"/>
      <w:numFmt w:val="bullet"/>
      <w:lvlText w:val=""/>
      <w:lvlJc w:val="left"/>
      <w:pPr>
        <w:ind w:left="1080" w:hanging="360"/>
      </w:pPr>
      <w:rPr>
        <w:rFonts w:ascii="Symbol" w:hAnsi="Symbol"/>
      </w:rPr>
    </w:lvl>
    <w:lvl w:ilvl="1" w:tplc="08090003" w:tentative="1">
      <w:start w:val="1"/>
      <w:numFmt w:val="bullet"/>
      <w:lvlText w:val="o"/>
      <w:lvlJc w:val="left"/>
      <w:pPr>
        <w:ind w:left="-1053" w:hanging="360"/>
      </w:pPr>
      <w:rPr>
        <w:rFonts w:ascii="Courier New" w:hAnsi="Courier New" w:cs="Courier New" w:hint="default"/>
      </w:rPr>
    </w:lvl>
    <w:lvl w:ilvl="2" w:tplc="08090005" w:tentative="1">
      <w:start w:val="1"/>
      <w:numFmt w:val="bullet"/>
      <w:lvlText w:val=""/>
      <w:lvlJc w:val="left"/>
      <w:pPr>
        <w:ind w:left="-333" w:hanging="360"/>
      </w:pPr>
      <w:rPr>
        <w:rFonts w:ascii="Wingdings" w:hAnsi="Wingdings" w:hint="default"/>
      </w:rPr>
    </w:lvl>
    <w:lvl w:ilvl="3" w:tplc="08090001" w:tentative="1">
      <w:start w:val="1"/>
      <w:numFmt w:val="bullet"/>
      <w:lvlText w:val=""/>
      <w:lvlJc w:val="left"/>
      <w:pPr>
        <w:ind w:left="387" w:hanging="360"/>
      </w:pPr>
      <w:rPr>
        <w:rFonts w:ascii="Symbol" w:hAnsi="Symbol" w:hint="default"/>
      </w:rPr>
    </w:lvl>
    <w:lvl w:ilvl="4" w:tplc="08090003" w:tentative="1">
      <w:start w:val="1"/>
      <w:numFmt w:val="bullet"/>
      <w:lvlText w:val="o"/>
      <w:lvlJc w:val="left"/>
      <w:pPr>
        <w:ind w:left="1107" w:hanging="360"/>
      </w:pPr>
      <w:rPr>
        <w:rFonts w:ascii="Courier New" w:hAnsi="Courier New" w:cs="Courier New" w:hint="default"/>
      </w:rPr>
    </w:lvl>
    <w:lvl w:ilvl="5" w:tplc="08090005" w:tentative="1">
      <w:start w:val="1"/>
      <w:numFmt w:val="bullet"/>
      <w:lvlText w:val=""/>
      <w:lvlJc w:val="left"/>
      <w:pPr>
        <w:ind w:left="1827" w:hanging="360"/>
      </w:pPr>
      <w:rPr>
        <w:rFonts w:ascii="Wingdings" w:hAnsi="Wingdings" w:hint="default"/>
      </w:rPr>
    </w:lvl>
    <w:lvl w:ilvl="6" w:tplc="08090001" w:tentative="1">
      <w:start w:val="1"/>
      <w:numFmt w:val="bullet"/>
      <w:lvlText w:val=""/>
      <w:lvlJc w:val="left"/>
      <w:pPr>
        <w:ind w:left="2547" w:hanging="360"/>
      </w:pPr>
      <w:rPr>
        <w:rFonts w:ascii="Symbol" w:hAnsi="Symbol" w:hint="default"/>
      </w:rPr>
    </w:lvl>
    <w:lvl w:ilvl="7" w:tplc="08090003" w:tentative="1">
      <w:start w:val="1"/>
      <w:numFmt w:val="bullet"/>
      <w:lvlText w:val="o"/>
      <w:lvlJc w:val="left"/>
      <w:pPr>
        <w:ind w:left="3267" w:hanging="360"/>
      </w:pPr>
      <w:rPr>
        <w:rFonts w:ascii="Courier New" w:hAnsi="Courier New" w:cs="Courier New" w:hint="default"/>
      </w:rPr>
    </w:lvl>
    <w:lvl w:ilvl="8" w:tplc="08090005" w:tentative="1">
      <w:start w:val="1"/>
      <w:numFmt w:val="bullet"/>
      <w:lvlText w:val=""/>
      <w:lvlJc w:val="left"/>
      <w:pPr>
        <w:ind w:left="3987" w:hanging="360"/>
      </w:pPr>
      <w:rPr>
        <w:rFonts w:ascii="Wingdings" w:hAnsi="Wingdings" w:hint="default"/>
      </w:rPr>
    </w:lvl>
  </w:abstractNum>
  <w:abstractNum w:abstractNumId="16" w15:restartNumberingAfterBreak="0">
    <w:nsid w:val="6E7840B7"/>
    <w:multiLevelType w:val="hybridMultilevel"/>
    <w:tmpl w:val="B68E01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FEF3ED4"/>
    <w:multiLevelType w:val="hybridMultilevel"/>
    <w:tmpl w:val="B86807E0"/>
    <w:lvl w:ilvl="0" w:tplc="7B503CB2">
      <w:start w:val="1"/>
      <w:numFmt w:val="bullet"/>
      <w:lvlText w:val=""/>
      <w:lvlJc w:val="left"/>
      <w:pPr>
        <w:ind w:left="720" w:hanging="360"/>
      </w:pPr>
      <w:rPr>
        <w:rFonts w:ascii="Symbol" w:hAnsi="Symbol" w:hint="default"/>
        <w:color w:val="D9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23444778">
    <w:abstractNumId w:val="13"/>
  </w:num>
  <w:num w:numId="2" w16cid:durableId="2035573269">
    <w:abstractNumId w:val="1"/>
  </w:num>
  <w:num w:numId="3" w16cid:durableId="1794133680">
    <w:abstractNumId w:val="0"/>
  </w:num>
  <w:num w:numId="4" w16cid:durableId="1221752163">
    <w:abstractNumId w:val="17"/>
  </w:num>
  <w:num w:numId="5" w16cid:durableId="884026184">
    <w:abstractNumId w:val="4"/>
  </w:num>
  <w:num w:numId="6" w16cid:durableId="855193829">
    <w:abstractNumId w:val="10"/>
  </w:num>
  <w:num w:numId="7" w16cid:durableId="810055204">
    <w:abstractNumId w:val="16"/>
  </w:num>
  <w:num w:numId="8" w16cid:durableId="452407011">
    <w:abstractNumId w:val="15"/>
  </w:num>
  <w:num w:numId="9" w16cid:durableId="1148597335">
    <w:abstractNumId w:val="6"/>
  </w:num>
  <w:num w:numId="10" w16cid:durableId="204105332">
    <w:abstractNumId w:val="3"/>
  </w:num>
  <w:num w:numId="11" w16cid:durableId="1539514397">
    <w:abstractNumId w:val="5"/>
  </w:num>
  <w:num w:numId="12" w16cid:durableId="824051837">
    <w:abstractNumId w:val="11"/>
  </w:num>
  <w:num w:numId="13" w16cid:durableId="1828860220">
    <w:abstractNumId w:val="12"/>
  </w:num>
  <w:num w:numId="14" w16cid:durableId="503515199">
    <w:abstractNumId w:val="2"/>
  </w:num>
  <w:num w:numId="15" w16cid:durableId="2043746328">
    <w:abstractNumId w:val="9"/>
  </w:num>
  <w:num w:numId="16" w16cid:durableId="1909462467">
    <w:abstractNumId w:val="8"/>
  </w:num>
  <w:num w:numId="17" w16cid:durableId="1684896742">
    <w:abstractNumId w:val="7"/>
  </w:num>
  <w:num w:numId="18" w16cid:durableId="16935311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45E6"/>
    <w:rsid w:val="00001256"/>
    <w:rsid w:val="0000527F"/>
    <w:rsid w:val="00006CFF"/>
    <w:rsid w:val="00021725"/>
    <w:rsid w:val="00024844"/>
    <w:rsid w:val="0003731C"/>
    <w:rsid w:val="00041991"/>
    <w:rsid w:val="00042107"/>
    <w:rsid w:val="000615EE"/>
    <w:rsid w:val="0006447B"/>
    <w:rsid w:val="00072ACE"/>
    <w:rsid w:val="00082A01"/>
    <w:rsid w:val="00097A66"/>
    <w:rsid w:val="0009D228"/>
    <w:rsid w:val="000B1964"/>
    <w:rsid w:val="000C49E4"/>
    <w:rsid w:val="000D6B08"/>
    <w:rsid w:val="000D737C"/>
    <w:rsid w:val="000D76C8"/>
    <w:rsid w:val="00101997"/>
    <w:rsid w:val="00113432"/>
    <w:rsid w:val="00124668"/>
    <w:rsid w:val="00136402"/>
    <w:rsid w:val="00136B01"/>
    <w:rsid w:val="001379D6"/>
    <w:rsid w:val="00142260"/>
    <w:rsid w:val="001563B1"/>
    <w:rsid w:val="001575A4"/>
    <w:rsid w:val="00162280"/>
    <w:rsid w:val="00165120"/>
    <w:rsid w:val="00166BBB"/>
    <w:rsid w:val="00167C5C"/>
    <w:rsid w:val="00167E4A"/>
    <w:rsid w:val="00173DE4"/>
    <w:rsid w:val="00174DD5"/>
    <w:rsid w:val="00180936"/>
    <w:rsid w:val="00184711"/>
    <w:rsid w:val="00193E0D"/>
    <w:rsid w:val="001A0573"/>
    <w:rsid w:val="001A171F"/>
    <w:rsid w:val="001A3167"/>
    <w:rsid w:val="001A3200"/>
    <w:rsid w:val="001B05C5"/>
    <w:rsid w:val="001B7B44"/>
    <w:rsid w:val="001D49CF"/>
    <w:rsid w:val="001D55D0"/>
    <w:rsid w:val="001D7CF7"/>
    <w:rsid w:val="001E14C8"/>
    <w:rsid w:val="001F2B6B"/>
    <w:rsid w:val="001F4C59"/>
    <w:rsid w:val="00202D24"/>
    <w:rsid w:val="002066AB"/>
    <w:rsid w:val="002256F7"/>
    <w:rsid w:val="00226D41"/>
    <w:rsid w:val="00236BBD"/>
    <w:rsid w:val="00242141"/>
    <w:rsid w:val="0025149E"/>
    <w:rsid w:val="002625EA"/>
    <w:rsid w:val="00264527"/>
    <w:rsid w:val="00264C16"/>
    <w:rsid w:val="00266657"/>
    <w:rsid w:val="002701E2"/>
    <w:rsid w:val="00271AFE"/>
    <w:rsid w:val="00272238"/>
    <w:rsid w:val="00283C79"/>
    <w:rsid w:val="002A7AEC"/>
    <w:rsid w:val="002B234B"/>
    <w:rsid w:val="002B7AB4"/>
    <w:rsid w:val="002C0956"/>
    <w:rsid w:val="002C2763"/>
    <w:rsid w:val="002C4695"/>
    <w:rsid w:val="002C51CA"/>
    <w:rsid w:val="002C6F8D"/>
    <w:rsid w:val="002D7925"/>
    <w:rsid w:val="002E4668"/>
    <w:rsid w:val="002E60B0"/>
    <w:rsid w:val="002E7EB4"/>
    <w:rsid w:val="002F0A54"/>
    <w:rsid w:val="002F243A"/>
    <w:rsid w:val="002F569E"/>
    <w:rsid w:val="00306664"/>
    <w:rsid w:val="0030747B"/>
    <w:rsid w:val="003213E5"/>
    <w:rsid w:val="00327BCF"/>
    <w:rsid w:val="0035000D"/>
    <w:rsid w:val="00362423"/>
    <w:rsid w:val="003751DD"/>
    <w:rsid w:val="00384D9D"/>
    <w:rsid w:val="00392DE3"/>
    <w:rsid w:val="00392E58"/>
    <w:rsid w:val="003A3E1F"/>
    <w:rsid w:val="003A7CC3"/>
    <w:rsid w:val="003B64BD"/>
    <w:rsid w:val="003C2E6D"/>
    <w:rsid w:val="003C3DC1"/>
    <w:rsid w:val="003D2C31"/>
    <w:rsid w:val="003D3372"/>
    <w:rsid w:val="003D3815"/>
    <w:rsid w:val="003F18EF"/>
    <w:rsid w:val="004124B7"/>
    <w:rsid w:val="00413606"/>
    <w:rsid w:val="004203CB"/>
    <w:rsid w:val="004206FD"/>
    <w:rsid w:val="00420AAD"/>
    <w:rsid w:val="00421E30"/>
    <w:rsid w:val="0042343F"/>
    <w:rsid w:val="0043292E"/>
    <w:rsid w:val="0043401F"/>
    <w:rsid w:val="00440537"/>
    <w:rsid w:val="00444B01"/>
    <w:rsid w:val="004478C1"/>
    <w:rsid w:val="00454535"/>
    <w:rsid w:val="00457619"/>
    <w:rsid w:val="00467817"/>
    <w:rsid w:val="004705A4"/>
    <w:rsid w:val="0047703A"/>
    <w:rsid w:val="00477D34"/>
    <w:rsid w:val="004803F3"/>
    <w:rsid w:val="0049162E"/>
    <w:rsid w:val="00496FE8"/>
    <w:rsid w:val="004A27F2"/>
    <w:rsid w:val="004A5EF6"/>
    <w:rsid w:val="004B05D8"/>
    <w:rsid w:val="004C07D8"/>
    <w:rsid w:val="004C45E6"/>
    <w:rsid w:val="004D0430"/>
    <w:rsid w:val="004F55EE"/>
    <w:rsid w:val="00503FF4"/>
    <w:rsid w:val="005062CF"/>
    <w:rsid w:val="00525E03"/>
    <w:rsid w:val="00536AB2"/>
    <w:rsid w:val="00541C8D"/>
    <w:rsid w:val="00552EEF"/>
    <w:rsid w:val="005718E7"/>
    <w:rsid w:val="005922A7"/>
    <w:rsid w:val="005A01E6"/>
    <w:rsid w:val="005B699A"/>
    <w:rsid w:val="005B6A92"/>
    <w:rsid w:val="005C11C0"/>
    <w:rsid w:val="005D265D"/>
    <w:rsid w:val="006001EA"/>
    <w:rsid w:val="0060055F"/>
    <w:rsid w:val="00610607"/>
    <w:rsid w:val="00621DD3"/>
    <w:rsid w:val="00623100"/>
    <w:rsid w:val="00627936"/>
    <w:rsid w:val="00634BAD"/>
    <w:rsid w:val="00640023"/>
    <w:rsid w:val="00641F03"/>
    <w:rsid w:val="006424F6"/>
    <w:rsid w:val="00644CB9"/>
    <w:rsid w:val="0065030B"/>
    <w:rsid w:val="006528B7"/>
    <w:rsid w:val="006560B4"/>
    <w:rsid w:val="00656198"/>
    <w:rsid w:val="0066439E"/>
    <w:rsid w:val="00682DE3"/>
    <w:rsid w:val="006930DB"/>
    <w:rsid w:val="006B19EE"/>
    <w:rsid w:val="006C41ED"/>
    <w:rsid w:val="006C7C35"/>
    <w:rsid w:val="006D35F1"/>
    <w:rsid w:val="006D53D1"/>
    <w:rsid w:val="006D79FC"/>
    <w:rsid w:val="006E79E7"/>
    <w:rsid w:val="006F5746"/>
    <w:rsid w:val="007316B3"/>
    <w:rsid w:val="00733D06"/>
    <w:rsid w:val="0074157A"/>
    <w:rsid w:val="00744C9D"/>
    <w:rsid w:val="007512D7"/>
    <w:rsid w:val="00763B8A"/>
    <w:rsid w:val="00770209"/>
    <w:rsid w:val="00770540"/>
    <w:rsid w:val="0077145A"/>
    <w:rsid w:val="00774021"/>
    <w:rsid w:val="007740FD"/>
    <w:rsid w:val="00781ED0"/>
    <w:rsid w:val="00782F52"/>
    <w:rsid w:val="00783A75"/>
    <w:rsid w:val="00784FC6"/>
    <w:rsid w:val="00791535"/>
    <w:rsid w:val="007A7DDA"/>
    <w:rsid w:val="007B7C0D"/>
    <w:rsid w:val="007C0DCF"/>
    <w:rsid w:val="007D1F8F"/>
    <w:rsid w:val="007D46ED"/>
    <w:rsid w:val="007E1896"/>
    <w:rsid w:val="007E6304"/>
    <w:rsid w:val="007F69F7"/>
    <w:rsid w:val="007F6B01"/>
    <w:rsid w:val="00800083"/>
    <w:rsid w:val="008032A2"/>
    <w:rsid w:val="00804088"/>
    <w:rsid w:val="00806EB4"/>
    <w:rsid w:val="00816988"/>
    <w:rsid w:val="00821848"/>
    <w:rsid w:val="00833CBF"/>
    <w:rsid w:val="00840A18"/>
    <w:rsid w:val="00865863"/>
    <w:rsid w:val="00867F20"/>
    <w:rsid w:val="00873B77"/>
    <w:rsid w:val="00875EA3"/>
    <w:rsid w:val="00894417"/>
    <w:rsid w:val="008966D0"/>
    <w:rsid w:val="008B01BB"/>
    <w:rsid w:val="008B0907"/>
    <w:rsid w:val="008F2014"/>
    <w:rsid w:val="008F53AE"/>
    <w:rsid w:val="008F7D93"/>
    <w:rsid w:val="00913B7A"/>
    <w:rsid w:val="00917835"/>
    <w:rsid w:val="00922DF6"/>
    <w:rsid w:val="009252D6"/>
    <w:rsid w:val="0094252A"/>
    <w:rsid w:val="00946BEE"/>
    <w:rsid w:val="00951EFB"/>
    <w:rsid w:val="00956071"/>
    <w:rsid w:val="00961464"/>
    <w:rsid w:val="0097576D"/>
    <w:rsid w:val="00991222"/>
    <w:rsid w:val="00991D41"/>
    <w:rsid w:val="009A1042"/>
    <w:rsid w:val="009A17B3"/>
    <w:rsid w:val="009B4DEF"/>
    <w:rsid w:val="009C362A"/>
    <w:rsid w:val="009C581C"/>
    <w:rsid w:val="009F43D6"/>
    <w:rsid w:val="009F65CF"/>
    <w:rsid w:val="00A01356"/>
    <w:rsid w:val="00A02D1C"/>
    <w:rsid w:val="00A032EE"/>
    <w:rsid w:val="00A06FEE"/>
    <w:rsid w:val="00A07F1B"/>
    <w:rsid w:val="00A12EEC"/>
    <w:rsid w:val="00A13822"/>
    <w:rsid w:val="00A16E37"/>
    <w:rsid w:val="00A17017"/>
    <w:rsid w:val="00A31EB9"/>
    <w:rsid w:val="00A34273"/>
    <w:rsid w:val="00A4757B"/>
    <w:rsid w:val="00A72DF4"/>
    <w:rsid w:val="00A73FEF"/>
    <w:rsid w:val="00A85B06"/>
    <w:rsid w:val="00A87595"/>
    <w:rsid w:val="00AA54A0"/>
    <w:rsid w:val="00AB274C"/>
    <w:rsid w:val="00AB3198"/>
    <w:rsid w:val="00AB45A7"/>
    <w:rsid w:val="00AC0DB2"/>
    <w:rsid w:val="00AC6C33"/>
    <w:rsid w:val="00AE63FA"/>
    <w:rsid w:val="00AE79FA"/>
    <w:rsid w:val="00AF04C9"/>
    <w:rsid w:val="00AF2213"/>
    <w:rsid w:val="00AF3F45"/>
    <w:rsid w:val="00B01FD1"/>
    <w:rsid w:val="00B024E8"/>
    <w:rsid w:val="00B053E7"/>
    <w:rsid w:val="00B113D5"/>
    <w:rsid w:val="00B44C60"/>
    <w:rsid w:val="00B55ED7"/>
    <w:rsid w:val="00B60EDB"/>
    <w:rsid w:val="00B86278"/>
    <w:rsid w:val="00BA7476"/>
    <w:rsid w:val="00BB6080"/>
    <w:rsid w:val="00BC2928"/>
    <w:rsid w:val="00BC29B9"/>
    <w:rsid w:val="00BC7412"/>
    <w:rsid w:val="00BD29C7"/>
    <w:rsid w:val="00BD7C7F"/>
    <w:rsid w:val="00BE21F2"/>
    <w:rsid w:val="00BF59AB"/>
    <w:rsid w:val="00C0090E"/>
    <w:rsid w:val="00C01832"/>
    <w:rsid w:val="00C07FE9"/>
    <w:rsid w:val="00C12115"/>
    <w:rsid w:val="00C1261E"/>
    <w:rsid w:val="00C20134"/>
    <w:rsid w:val="00C31347"/>
    <w:rsid w:val="00C35D96"/>
    <w:rsid w:val="00C378EB"/>
    <w:rsid w:val="00C37C6D"/>
    <w:rsid w:val="00C40403"/>
    <w:rsid w:val="00C419F6"/>
    <w:rsid w:val="00C41D0E"/>
    <w:rsid w:val="00C423EF"/>
    <w:rsid w:val="00C451CD"/>
    <w:rsid w:val="00C46028"/>
    <w:rsid w:val="00C51CC1"/>
    <w:rsid w:val="00C5215A"/>
    <w:rsid w:val="00C627B8"/>
    <w:rsid w:val="00C66C49"/>
    <w:rsid w:val="00C737D3"/>
    <w:rsid w:val="00C804CB"/>
    <w:rsid w:val="00C84483"/>
    <w:rsid w:val="00C9472C"/>
    <w:rsid w:val="00C95D85"/>
    <w:rsid w:val="00CA0992"/>
    <w:rsid w:val="00CB02D2"/>
    <w:rsid w:val="00CB550A"/>
    <w:rsid w:val="00CC69FF"/>
    <w:rsid w:val="00CD34FB"/>
    <w:rsid w:val="00CD7ECF"/>
    <w:rsid w:val="00CE0CB6"/>
    <w:rsid w:val="00CF0CD8"/>
    <w:rsid w:val="00CF223C"/>
    <w:rsid w:val="00CF2E2F"/>
    <w:rsid w:val="00D0200D"/>
    <w:rsid w:val="00D03A16"/>
    <w:rsid w:val="00D14C4C"/>
    <w:rsid w:val="00D17597"/>
    <w:rsid w:val="00D22076"/>
    <w:rsid w:val="00D23755"/>
    <w:rsid w:val="00D25B58"/>
    <w:rsid w:val="00D400A9"/>
    <w:rsid w:val="00D423FB"/>
    <w:rsid w:val="00D42D1E"/>
    <w:rsid w:val="00D45269"/>
    <w:rsid w:val="00D518F9"/>
    <w:rsid w:val="00D52B14"/>
    <w:rsid w:val="00D52F54"/>
    <w:rsid w:val="00D6392B"/>
    <w:rsid w:val="00D70EB7"/>
    <w:rsid w:val="00D769B2"/>
    <w:rsid w:val="00D77307"/>
    <w:rsid w:val="00DA13B8"/>
    <w:rsid w:val="00DA4766"/>
    <w:rsid w:val="00DB09EE"/>
    <w:rsid w:val="00DC511F"/>
    <w:rsid w:val="00DD50E9"/>
    <w:rsid w:val="00DE219D"/>
    <w:rsid w:val="00DE4731"/>
    <w:rsid w:val="00DE704D"/>
    <w:rsid w:val="00DE772B"/>
    <w:rsid w:val="00E0693A"/>
    <w:rsid w:val="00E13AD5"/>
    <w:rsid w:val="00E2784D"/>
    <w:rsid w:val="00E31AE6"/>
    <w:rsid w:val="00E4144B"/>
    <w:rsid w:val="00E60EC0"/>
    <w:rsid w:val="00E67B06"/>
    <w:rsid w:val="00E82EA5"/>
    <w:rsid w:val="00E83A06"/>
    <w:rsid w:val="00EA4BAE"/>
    <w:rsid w:val="00EB01A8"/>
    <w:rsid w:val="00EB1483"/>
    <w:rsid w:val="00EB2B3B"/>
    <w:rsid w:val="00EB5F7E"/>
    <w:rsid w:val="00EB691A"/>
    <w:rsid w:val="00EC47E4"/>
    <w:rsid w:val="00ED4277"/>
    <w:rsid w:val="00ED7D6F"/>
    <w:rsid w:val="00EE6E1E"/>
    <w:rsid w:val="00EE7378"/>
    <w:rsid w:val="00EE7F6C"/>
    <w:rsid w:val="00EF3A62"/>
    <w:rsid w:val="00F02D66"/>
    <w:rsid w:val="00F0444E"/>
    <w:rsid w:val="00F06381"/>
    <w:rsid w:val="00F12428"/>
    <w:rsid w:val="00F371D2"/>
    <w:rsid w:val="00F54E89"/>
    <w:rsid w:val="00F56A74"/>
    <w:rsid w:val="00F572BF"/>
    <w:rsid w:val="00F63300"/>
    <w:rsid w:val="00F82749"/>
    <w:rsid w:val="00F82A35"/>
    <w:rsid w:val="00F94417"/>
    <w:rsid w:val="00F964E4"/>
    <w:rsid w:val="00FA2EB3"/>
    <w:rsid w:val="00FA3427"/>
    <w:rsid w:val="00FA4ED8"/>
    <w:rsid w:val="00FD228A"/>
    <w:rsid w:val="00FD34FD"/>
    <w:rsid w:val="00FD7D82"/>
    <w:rsid w:val="00FF27BD"/>
    <w:rsid w:val="1F929547"/>
    <w:rsid w:val="28CDCB61"/>
    <w:rsid w:val="37426E97"/>
    <w:rsid w:val="5004703A"/>
    <w:rsid w:val="57CF4A76"/>
    <w:rsid w:val="5A715453"/>
    <w:rsid w:val="63FA52FC"/>
    <w:rsid w:val="67BC6CA3"/>
    <w:rsid w:val="7D4C73F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007954"/>
  <w15:chartTrackingRefBased/>
  <w15:docId w15:val="{F53A2972-AE4C-40A8-A120-612E5A2CB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lsdException w:name="annotation text" w:semiHidden="1" w:uiPriority="0"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lsdException w:name="envelope address" w:semiHidden="1"/>
    <w:lsdException w:name="envelope return" w:semiHidden="1"/>
    <w:lsdException w:name="footnote reference" w:semiHidden="1"/>
    <w:lsdException w:name="annotation reference" w:semiHidden="1" w:uiPriority="0" w:unhideWhenUsed="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0"/>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locked="1" w:uiPriority="42"/>
    <w:lsdException w:name="Plain Table 3" w:uiPriority="43"/>
    <w:lsdException w:name="Plain Table 4" w:locked="1" w:uiPriority="44"/>
    <w:lsdException w:name="Plain Table 5" w:locked="1" w:uiPriority="45"/>
    <w:lsdException w:name="Grid Table Light" w:locked="1" w:uiPriority="40"/>
    <w:lsdException w:name="Grid Table 1 Light" w:uiPriority="46"/>
    <w:lsdException w:name="Grid Table 2" w:locked="1" w:uiPriority="47"/>
    <w:lsdException w:name="Grid Table 3" w:locked="1" w:uiPriority="48"/>
    <w:lsdException w:name="Grid Table 4"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uiPriority="46"/>
    <w:lsdException w:name="List Table 2" w:locked="1" w:uiPriority="47"/>
    <w:lsdException w:name="List Table 3"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5A01E6"/>
    <w:rPr>
      <w:rFonts w:ascii="Arial" w:hAnsi="Arial"/>
      <w:sz w:val="24"/>
      <w:lang w:val="en-GB"/>
    </w:rPr>
  </w:style>
  <w:style w:type="paragraph" w:styleId="Heading1">
    <w:name w:val="heading 1"/>
    <w:basedOn w:val="Normal"/>
    <w:next w:val="Normal"/>
    <w:link w:val="Heading1Char"/>
    <w:uiPriority w:val="9"/>
    <w:qFormat/>
    <w:rsid w:val="007F69F7"/>
    <w:pPr>
      <w:keepNext/>
      <w:keepLines/>
      <w:spacing w:before="240" w:after="0"/>
      <w:outlineLvl w:val="0"/>
    </w:pPr>
    <w:rPr>
      <w:rFonts w:ascii="Arial Black" w:eastAsiaTheme="majorEastAsia" w:hAnsi="Arial Black" w:cstheme="majorBidi"/>
      <w:color w:val="1C1F63" w:themeColor="text1"/>
      <w:sz w:val="48"/>
      <w:szCs w:val="32"/>
    </w:rPr>
  </w:style>
  <w:style w:type="paragraph" w:styleId="Heading2">
    <w:name w:val="heading 2"/>
    <w:basedOn w:val="Normal"/>
    <w:next w:val="Normal"/>
    <w:link w:val="Heading2Char"/>
    <w:uiPriority w:val="9"/>
    <w:qFormat/>
    <w:rsid w:val="00226D41"/>
    <w:pPr>
      <w:keepNext/>
      <w:keepLines/>
      <w:spacing w:before="240" w:after="0"/>
      <w:outlineLvl w:val="1"/>
    </w:pPr>
    <w:rPr>
      <w:rFonts w:ascii="Arial Black" w:eastAsiaTheme="majorEastAsia" w:hAnsi="Arial Black" w:cstheme="majorBidi"/>
      <w:color w:val="1C1F63" w:themeColor="text1"/>
      <w:sz w:val="28"/>
      <w:szCs w:val="26"/>
    </w:rPr>
  </w:style>
  <w:style w:type="paragraph" w:styleId="Heading3">
    <w:name w:val="heading 3"/>
    <w:basedOn w:val="Normal"/>
    <w:next w:val="Normal"/>
    <w:link w:val="Heading3Char"/>
    <w:uiPriority w:val="9"/>
    <w:semiHidden/>
    <w:qFormat/>
    <w:rsid w:val="000C49E4"/>
    <w:pPr>
      <w:keepNext/>
      <w:keepLines/>
      <w:spacing w:before="40" w:after="0"/>
      <w:outlineLvl w:val="2"/>
    </w:pPr>
    <w:rPr>
      <w:rFonts w:asciiTheme="majorHAnsi" w:eastAsiaTheme="majorEastAsia" w:hAnsiTheme="majorHAnsi" w:cstheme="majorBidi"/>
      <w:color w:val="0E0F31"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C45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53AE"/>
    <w:rPr>
      <w:rFonts w:ascii="Arial" w:hAnsi="Arial"/>
      <w:color w:val="1C1F63" w:themeColor="text1"/>
      <w:sz w:val="24"/>
    </w:rPr>
  </w:style>
  <w:style w:type="paragraph" w:styleId="Footer">
    <w:name w:val="footer"/>
    <w:basedOn w:val="Normal"/>
    <w:link w:val="FooterChar"/>
    <w:uiPriority w:val="99"/>
    <w:semiHidden/>
    <w:rsid w:val="006E79E7"/>
    <w:pPr>
      <w:tabs>
        <w:tab w:val="center" w:pos="4680"/>
        <w:tab w:val="right" w:pos="9360"/>
      </w:tabs>
      <w:spacing w:after="0" w:line="240" w:lineRule="auto"/>
    </w:pPr>
    <w:rPr>
      <w:sz w:val="20"/>
    </w:rPr>
  </w:style>
  <w:style w:type="character" w:customStyle="1" w:styleId="FooterChar">
    <w:name w:val="Footer Char"/>
    <w:basedOn w:val="DefaultParagraphFont"/>
    <w:link w:val="Footer"/>
    <w:uiPriority w:val="99"/>
    <w:semiHidden/>
    <w:rsid w:val="00A34273"/>
    <w:rPr>
      <w:rFonts w:ascii="Arial" w:hAnsi="Arial"/>
      <w:sz w:val="20"/>
    </w:rPr>
  </w:style>
  <w:style w:type="character" w:styleId="CommentReference">
    <w:name w:val="annotation reference"/>
    <w:basedOn w:val="DefaultParagraphFont"/>
    <w:semiHidden/>
    <w:rsid w:val="00782F52"/>
    <w:rPr>
      <w:sz w:val="16"/>
      <w:szCs w:val="16"/>
    </w:rPr>
  </w:style>
  <w:style w:type="paragraph" w:styleId="CommentText">
    <w:name w:val="annotation text"/>
    <w:basedOn w:val="Normal"/>
    <w:link w:val="CommentTextChar"/>
    <w:semiHidden/>
    <w:rsid w:val="00782F52"/>
    <w:pPr>
      <w:spacing w:line="240" w:lineRule="auto"/>
    </w:pPr>
    <w:rPr>
      <w:sz w:val="20"/>
      <w:szCs w:val="20"/>
    </w:rPr>
  </w:style>
  <w:style w:type="character" w:customStyle="1" w:styleId="CommentTextChar">
    <w:name w:val="Comment Text Char"/>
    <w:basedOn w:val="DefaultParagraphFont"/>
    <w:link w:val="CommentText"/>
    <w:semiHidden/>
    <w:rsid w:val="005A01E6"/>
    <w:rPr>
      <w:rFonts w:ascii="Arial" w:hAnsi="Arial"/>
      <w:sz w:val="20"/>
      <w:szCs w:val="20"/>
      <w:lang w:val="en-GB"/>
    </w:rPr>
  </w:style>
  <w:style w:type="paragraph" w:styleId="CommentSubject">
    <w:name w:val="annotation subject"/>
    <w:basedOn w:val="CommentText"/>
    <w:next w:val="CommentText"/>
    <w:link w:val="CommentSubjectChar"/>
    <w:uiPriority w:val="99"/>
    <w:semiHidden/>
    <w:rsid w:val="00782F52"/>
    <w:rPr>
      <w:b/>
      <w:bCs/>
    </w:rPr>
  </w:style>
  <w:style w:type="character" w:customStyle="1" w:styleId="CommentSubjectChar">
    <w:name w:val="Comment Subject Char"/>
    <w:basedOn w:val="CommentTextChar"/>
    <w:link w:val="CommentSubject"/>
    <w:uiPriority w:val="99"/>
    <w:semiHidden/>
    <w:rsid w:val="008F53AE"/>
    <w:rPr>
      <w:rFonts w:ascii="Arial" w:hAnsi="Arial"/>
      <w:b/>
      <w:bCs/>
      <w:color w:val="1C1F63" w:themeColor="text1"/>
      <w:sz w:val="20"/>
      <w:szCs w:val="20"/>
      <w:lang w:val="en-GB"/>
    </w:rPr>
  </w:style>
  <w:style w:type="character" w:styleId="Emphasis">
    <w:name w:val="Emphasis"/>
    <w:basedOn w:val="DefaultParagraphFont"/>
    <w:uiPriority w:val="10"/>
    <w:qFormat/>
    <w:rsid w:val="0000527F"/>
    <w:rPr>
      <w:rFonts w:ascii="Arial" w:hAnsi="Arial"/>
      <w:b/>
      <w:i w:val="0"/>
      <w:iCs/>
      <w:sz w:val="24"/>
    </w:rPr>
  </w:style>
  <w:style w:type="paragraph" w:styleId="Title">
    <w:name w:val="Title"/>
    <w:basedOn w:val="Normal"/>
    <w:next w:val="Normal"/>
    <w:link w:val="TitleChar"/>
    <w:uiPriority w:val="10"/>
    <w:qFormat/>
    <w:rsid w:val="00F06381"/>
    <w:pPr>
      <w:spacing w:after="0" w:line="240" w:lineRule="auto"/>
      <w:contextualSpacing/>
    </w:pPr>
    <w:rPr>
      <w:rFonts w:ascii="Arial Black" w:eastAsiaTheme="majorEastAsia" w:hAnsi="Arial Black" w:cstheme="majorBidi"/>
      <w:color w:val="1C1F63"/>
      <w:spacing w:val="-10"/>
      <w:kern w:val="28"/>
      <w:sz w:val="56"/>
      <w:szCs w:val="56"/>
    </w:rPr>
  </w:style>
  <w:style w:type="character" w:customStyle="1" w:styleId="TitleChar">
    <w:name w:val="Title Char"/>
    <w:basedOn w:val="DefaultParagraphFont"/>
    <w:link w:val="Title"/>
    <w:uiPriority w:val="10"/>
    <w:rsid w:val="00640023"/>
    <w:rPr>
      <w:rFonts w:ascii="Arial Black" w:eastAsiaTheme="majorEastAsia" w:hAnsi="Arial Black" w:cstheme="majorBidi"/>
      <w:color w:val="1C1F63"/>
      <w:spacing w:val="-10"/>
      <w:kern w:val="28"/>
      <w:sz w:val="56"/>
      <w:szCs w:val="56"/>
    </w:rPr>
  </w:style>
  <w:style w:type="paragraph" w:styleId="Subtitle">
    <w:name w:val="Subtitle"/>
    <w:basedOn w:val="Normal"/>
    <w:next w:val="Normal"/>
    <w:link w:val="SubtitleChar"/>
    <w:uiPriority w:val="11"/>
    <w:qFormat/>
    <w:rsid w:val="008F53AE"/>
    <w:pPr>
      <w:numPr>
        <w:ilvl w:val="1"/>
      </w:numPr>
    </w:pPr>
    <w:rPr>
      <w:rFonts w:ascii="Arial Black" w:eastAsiaTheme="minorEastAsia" w:hAnsi="Arial Black"/>
      <w:color w:val="1C1F63"/>
      <w:spacing w:val="15"/>
    </w:rPr>
  </w:style>
  <w:style w:type="character" w:customStyle="1" w:styleId="SubtitleChar">
    <w:name w:val="Subtitle Char"/>
    <w:basedOn w:val="DefaultParagraphFont"/>
    <w:link w:val="Subtitle"/>
    <w:uiPriority w:val="11"/>
    <w:rsid w:val="007B7C0D"/>
    <w:rPr>
      <w:rFonts w:ascii="Arial Black" w:eastAsiaTheme="minorEastAsia" w:hAnsi="Arial Black"/>
      <w:color w:val="1C1F63"/>
      <w:spacing w:val="15"/>
      <w:sz w:val="24"/>
    </w:rPr>
  </w:style>
  <w:style w:type="paragraph" w:styleId="ListParagraph">
    <w:name w:val="List Paragraph"/>
    <w:basedOn w:val="Normal"/>
    <w:link w:val="ListParagraphChar"/>
    <w:uiPriority w:val="34"/>
    <w:qFormat/>
    <w:rsid w:val="00413606"/>
    <w:pPr>
      <w:ind w:left="720"/>
      <w:contextualSpacing/>
    </w:pPr>
  </w:style>
  <w:style w:type="paragraph" w:customStyle="1" w:styleId="Bullets">
    <w:name w:val="Bullets"/>
    <w:basedOn w:val="ListParagraph"/>
    <w:uiPriority w:val="10"/>
    <w:qFormat/>
    <w:rsid w:val="00F371D2"/>
    <w:pPr>
      <w:numPr>
        <w:numId w:val="2"/>
      </w:numPr>
      <w:ind w:left="1077" w:hanging="357"/>
    </w:pPr>
  </w:style>
  <w:style w:type="table" w:styleId="TableGrid">
    <w:name w:val="Table Grid"/>
    <w:basedOn w:val="TableNormal"/>
    <w:rsid w:val="00AE79FA"/>
    <w:pPr>
      <w:spacing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
    <w:name w:val="Grid Table 4"/>
    <w:basedOn w:val="TableNormal"/>
    <w:uiPriority w:val="49"/>
    <w:rsid w:val="00DD50E9"/>
    <w:pPr>
      <w:spacing w:after="0" w:line="240" w:lineRule="auto"/>
    </w:pPr>
    <w:rPr>
      <w:sz w:val="24"/>
    </w:rPr>
    <w:tblPr>
      <w:tblStyleRowBandSize w:val="1"/>
      <w:tblStyleColBandSize w:val="1"/>
      <w:tblBorders>
        <w:top w:val="single" w:sz="4" w:space="0" w:color="4B50CC" w:themeColor="text1" w:themeTint="99"/>
        <w:left w:val="single" w:sz="4" w:space="0" w:color="4B50CC" w:themeColor="text1" w:themeTint="99"/>
        <w:bottom w:val="single" w:sz="4" w:space="0" w:color="4B50CC" w:themeColor="text1" w:themeTint="99"/>
        <w:right w:val="single" w:sz="4" w:space="0" w:color="4B50CC" w:themeColor="text1" w:themeTint="99"/>
        <w:insideH w:val="single" w:sz="4" w:space="0" w:color="4B50CC" w:themeColor="text1" w:themeTint="99"/>
        <w:insideV w:val="single" w:sz="4" w:space="0" w:color="4B50CC" w:themeColor="text1" w:themeTint="99"/>
      </w:tblBorders>
    </w:tblPr>
    <w:tcPr>
      <w:shd w:val="clear" w:color="auto" w:fill="auto"/>
    </w:tcPr>
    <w:tblStylePr w:type="firstRow">
      <w:rPr>
        <w:b/>
        <w:bCs/>
        <w:color w:val="FFFFFF" w:themeColor="background1"/>
      </w:rPr>
      <w:tblPr/>
      <w:tcPr>
        <w:tcBorders>
          <w:top w:val="single" w:sz="4" w:space="0" w:color="1C1F63" w:themeColor="text1"/>
          <w:left w:val="single" w:sz="4" w:space="0" w:color="1C1F63" w:themeColor="text1"/>
          <w:bottom w:val="single" w:sz="4" w:space="0" w:color="1C1F63" w:themeColor="text1"/>
          <w:right w:val="single" w:sz="4" w:space="0" w:color="1C1F63" w:themeColor="text1"/>
          <w:insideH w:val="nil"/>
          <w:insideV w:val="nil"/>
        </w:tcBorders>
        <w:shd w:val="clear" w:color="auto" w:fill="1C1F63" w:themeFill="text1"/>
      </w:tcPr>
    </w:tblStylePr>
    <w:tblStylePr w:type="lastRow">
      <w:rPr>
        <w:b/>
        <w:bCs/>
      </w:rPr>
      <w:tblPr/>
      <w:tcPr>
        <w:tcBorders>
          <w:top w:val="double" w:sz="4" w:space="0" w:color="1C1F63" w:themeColor="text1"/>
        </w:tcBorders>
      </w:tcPr>
    </w:tblStylePr>
    <w:tblStylePr w:type="firstCol">
      <w:rPr>
        <w:b/>
        <w:bCs/>
      </w:rPr>
    </w:tblStylePr>
    <w:tblStylePr w:type="lastCol">
      <w:rPr>
        <w:b/>
        <w:bCs/>
      </w:rPr>
    </w:tblStylePr>
    <w:tblStylePr w:type="band1Vert">
      <w:tblPr/>
      <w:tcPr>
        <w:shd w:val="clear" w:color="auto" w:fill="C3C4EE" w:themeFill="text1" w:themeFillTint="33"/>
      </w:tcPr>
    </w:tblStylePr>
    <w:tblStylePr w:type="band1Horz">
      <w:tblPr/>
      <w:tcPr>
        <w:shd w:val="clear" w:color="auto" w:fill="C3C4EE" w:themeFill="text1" w:themeFillTint="33"/>
      </w:tcPr>
    </w:tblStylePr>
    <w:tblStylePr w:type="band2Horz">
      <w:tblPr/>
      <w:tcPr>
        <w:shd w:val="clear" w:color="auto" w:fill="FFFFFF" w:themeFill="background1"/>
      </w:tcPr>
    </w:tblStylePr>
  </w:style>
  <w:style w:type="table" w:styleId="GridTable4-Accent1">
    <w:name w:val="Grid Table 4 Accent 1"/>
    <w:basedOn w:val="TableNormal"/>
    <w:uiPriority w:val="49"/>
    <w:locked/>
    <w:rsid w:val="00816988"/>
    <w:pPr>
      <w:spacing w:after="0" w:line="240" w:lineRule="auto"/>
    </w:pPr>
    <w:tblPr>
      <w:tblStyleRowBandSize w:val="1"/>
      <w:tblStyleColBandSize w:val="1"/>
      <w:tblBorders>
        <w:top w:val="single" w:sz="4" w:space="0" w:color="4B50CC" w:themeColor="accent1" w:themeTint="99"/>
        <w:left w:val="single" w:sz="4" w:space="0" w:color="4B50CC" w:themeColor="accent1" w:themeTint="99"/>
        <w:bottom w:val="single" w:sz="4" w:space="0" w:color="4B50CC" w:themeColor="accent1" w:themeTint="99"/>
        <w:right w:val="single" w:sz="4" w:space="0" w:color="4B50CC" w:themeColor="accent1" w:themeTint="99"/>
        <w:insideH w:val="single" w:sz="4" w:space="0" w:color="4B50CC" w:themeColor="accent1" w:themeTint="99"/>
        <w:insideV w:val="single" w:sz="4" w:space="0" w:color="4B50CC" w:themeColor="accent1" w:themeTint="99"/>
      </w:tblBorders>
    </w:tblPr>
    <w:tblStylePr w:type="firstRow">
      <w:rPr>
        <w:b/>
        <w:bCs/>
        <w:color w:val="FFFFFF" w:themeColor="background1"/>
      </w:rPr>
      <w:tblPr/>
      <w:tcPr>
        <w:tcBorders>
          <w:top w:val="single" w:sz="4" w:space="0" w:color="1C1F63" w:themeColor="accent1"/>
          <w:left w:val="single" w:sz="4" w:space="0" w:color="1C1F63" w:themeColor="accent1"/>
          <w:bottom w:val="single" w:sz="4" w:space="0" w:color="1C1F63" w:themeColor="accent1"/>
          <w:right w:val="single" w:sz="4" w:space="0" w:color="1C1F63" w:themeColor="accent1"/>
          <w:insideH w:val="nil"/>
          <w:insideV w:val="nil"/>
        </w:tcBorders>
        <w:shd w:val="clear" w:color="auto" w:fill="1C1F63" w:themeFill="accent1"/>
      </w:tcPr>
    </w:tblStylePr>
    <w:tblStylePr w:type="lastRow">
      <w:rPr>
        <w:b/>
        <w:bCs/>
      </w:rPr>
      <w:tblPr/>
      <w:tcPr>
        <w:tcBorders>
          <w:top w:val="double" w:sz="4" w:space="0" w:color="1C1F63" w:themeColor="accent1"/>
        </w:tcBorders>
      </w:tcPr>
    </w:tblStylePr>
    <w:tblStylePr w:type="firstCol">
      <w:rPr>
        <w:b/>
        <w:bCs/>
      </w:rPr>
    </w:tblStylePr>
    <w:tblStylePr w:type="lastCol">
      <w:rPr>
        <w:b/>
        <w:bCs/>
      </w:rPr>
    </w:tblStylePr>
    <w:tblStylePr w:type="band1Vert">
      <w:tblPr/>
      <w:tcPr>
        <w:shd w:val="clear" w:color="auto" w:fill="C3C4EE" w:themeFill="accent1" w:themeFillTint="33"/>
      </w:tcPr>
    </w:tblStylePr>
    <w:tblStylePr w:type="band1Horz">
      <w:tblPr/>
      <w:tcPr>
        <w:shd w:val="clear" w:color="auto" w:fill="C3C4EE" w:themeFill="accent1" w:themeFillTint="33"/>
      </w:tcPr>
    </w:tblStylePr>
  </w:style>
  <w:style w:type="table" w:styleId="TableGridLight">
    <w:name w:val="Grid Table Light"/>
    <w:basedOn w:val="TableNormal"/>
    <w:uiPriority w:val="40"/>
    <w:locked/>
    <w:rsid w:val="00AE79FA"/>
    <w:pPr>
      <w:spacing w:after="0" w:line="240" w:lineRule="auto"/>
    </w:pPr>
    <w:rPr>
      <w:sz w:val="24"/>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AE79FA"/>
    <w:pPr>
      <w:spacing w:after="0" w:line="240" w:lineRule="auto"/>
    </w:pPr>
    <w:rPr>
      <w:sz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locked/>
    <w:rsid w:val="00AE79FA"/>
    <w:pPr>
      <w:spacing w:after="0" w:line="240" w:lineRule="auto"/>
    </w:pPr>
    <w:rPr>
      <w:sz w:val="24"/>
    </w:rPr>
    <w:tblPr>
      <w:tblStyleRowBandSize w:val="1"/>
      <w:tblStyleColBandSize w:val="1"/>
      <w:tblBorders>
        <w:top w:val="single" w:sz="4" w:space="0" w:color="696DD4" w:themeColor="text1" w:themeTint="80"/>
        <w:bottom w:val="single" w:sz="4" w:space="0" w:color="696DD4" w:themeColor="text1" w:themeTint="80"/>
      </w:tblBorders>
    </w:tblPr>
    <w:tblStylePr w:type="firstRow">
      <w:rPr>
        <w:b/>
        <w:bCs/>
      </w:rPr>
      <w:tblPr/>
      <w:tcPr>
        <w:tcBorders>
          <w:bottom w:val="single" w:sz="4" w:space="0" w:color="696DD4" w:themeColor="text1" w:themeTint="80"/>
        </w:tcBorders>
      </w:tcPr>
    </w:tblStylePr>
    <w:tblStylePr w:type="lastRow">
      <w:rPr>
        <w:b/>
        <w:bCs/>
      </w:rPr>
      <w:tblPr/>
      <w:tcPr>
        <w:tcBorders>
          <w:top w:val="single" w:sz="4" w:space="0" w:color="696DD4" w:themeColor="text1" w:themeTint="80"/>
        </w:tcBorders>
      </w:tcPr>
    </w:tblStylePr>
    <w:tblStylePr w:type="firstCol">
      <w:rPr>
        <w:b/>
        <w:bCs/>
      </w:rPr>
    </w:tblStylePr>
    <w:tblStylePr w:type="lastCol">
      <w:rPr>
        <w:b/>
        <w:bCs/>
      </w:rPr>
    </w:tblStylePr>
    <w:tblStylePr w:type="band1Vert">
      <w:tblPr/>
      <w:tcPr>
        <w:tcBorders>
          <w:left w:val="single" w:sz="4" w:space="0" w:color="696DD4" w:themeColor="text1" w:themeTint="80"/>
          <w:right w:val="single" w:sz="4" w:space="0" w:color="696DD4" w:themeColor="text1" w:themeTint="80"/>
        </w:tcBorders>
      </w:tcPr>
    </w:tblStylePr>
    <w:tblStylePr w:type="band2Vert">
      <w:tblPr/>
      <w:tcPr>
        <w:tcBorders>
          <w:left w:val="single" w:sz="4" w:space="0" w:color="696DD4" w:themeColor="text1" w:themeTint="80"/>
          <w:right w:val="single" w:sz="4" w:space="0" w:color="696DD4" w:themeColor="text1" w:themeTint="80"/>
        </w:tcBorders>
      </w:tcPr>
    </w:tblStylePr>
    <w:tblStylePr w:type="band1Horz">
      <w:tblPr/>
      <w:tcPr>
        <w:tcBorders>
          <w:top w:val="single" w:sz="4" w:space="0" w:color="696DD4" w:themeColor="text1" w:themeTint="80"/>
          <w:bottom w:val="single" w:sz="4" w:space="0" w:color="696DD4" w:themeColor="text1" w:themeTint="80"/>
        </w:tcBorders>
      </w:tcPr>
    </w:tblStylePr>
  </w:style>
  <w:style w:type="table" w:styleId="PlainTable3">
    <w:name w:val="Plain Table 3"/>
    <w:basedOn w:val="TableNormal"/>
    <w:uiPriority w:val="43"/>
    <w:rsid w:val="00AE79FA"/>
    <w:pPr>
      <w:spacing w:after="0" w:line="240" w:lineRule="auto"/>
    </w:pPr>
    <w:rPr>
      <w:sz w:val="24"/>
    </w:rPr>
    <w:tblPr>
      <w:tblStyleRowBandSize w:val="1"/>
      <w:tblStyleColBandSize w:val="1"/>
    </w:tblPr>
    <w:tblStylePr w:type="firstRow">
      <w:rPr>
        <w:b/>
        <w:bCs/>
        <w:caps/>
      </w:rPr>
      <w:tblPr/>
      <w:tcPr>
        <w:tcBorders>
          <w:bottom w:val="single" w:sz="4" w:space="0" w:color="696DD4"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696DD4"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locked/>
    <w:rsid w:val="00AE79FA"/>
    <w:pPr>
      <w:spacing w:after="0" w:line="240" w:lineRule="auto"/>
    </w:pPr>
    <w:rPr>
      <w:sz w:val="24"/>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locked/>
    <w:rsid w:val="00AE79FA"/>
    <w:pPr>
      <w:spacing w:after="0" w:line="240" w:lineRule="auto"/>
    </w:pPr>
    <w:rPr>
      <w:sz w:val="24"/>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96DD4"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96DD4"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96DD4"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96DD4"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AE79FA"/>
    <w:pPr>
      <w:spacing w:after="0" w:line="240" w:lineRule="auto"/>
    </w:pPr>
    <w:rPr>
      <w:sz w:val="24"/>
    </w:rPr>
    <w:tblPr>
      <w:tblStyleRowBandSize w:val="1"/>
      <w:tblStyleColBandSize w:val="1"/>
      <w:tblBorders>
        <w:top w:val="single" w:sz="4" w:space="0" w:color="878ADD" w:themeColor="text1" w:themeTint="66"/>
        <w:left w:val="single" w:sz="4" w:space="0" w:color="878ADD" w:themeColor="text1" w:themeTint="66"/>
        <w:bottom w:val="single" w:sz="4" w:space="0" w:color="878ADD" w:themeColor="text1" w:themeTint="66"/>
        <w:right w:val="single" w:sz="4" w:space="0" w:color="878ADD" w:themeColor="text1" w:themeTint="66"/>
        <w:insideH w:val="single" w:sz="4" w:space="0" w:color="878ADD" w:themeColor="text1" w:themeTint="66"/>
        <w:insideV w:val="single" w:sz="4" w:space="0" w:color="878ADD" w:themeColor="text1" w:themeTint="66"/>
      </w:tblBorders>
    </w:tblPr>
    <w:tblStylePr w:type="firstRow">
      <w:rPr>
        <w:b/>
        <w:bCs/>
      </w:rPr>
      <w:tblPr/>
      <w:tcPr>
        <w:tcBorders>
          <w:bottom w:val="single" w:sz="12" w:space="0" w:color="4B50CC" w:themeColor="text1" w:themeTint="99"/>
        </w:tcBorders>
      </w:tcPr>
    </w:tblStylePr>
    <w:tblStylePr w:type="lastRow">
      <w:rPr>
        <w:b/>
        <w:bCs/>
      </w:rPr>
      <w:tblPr/>
      <w:tcPr>
        <w:tcBorders>
          <w:top w:val="double" w:sz="2" w:space="0" w:color="4B50CC"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locked/>
    <w:rsid w:val="00AE79FA"/>
    <w:pPr>
      <w:spacing w:after="0" w:line="240" w:lineRule="auto"/>
    </w:pPr>
    <w:rPr>
      <w:sz w:val="24"/>
    </w:rPr>
    <w:tblPr>
      <w:tblStyleRowBandSize w:val="1"/>
      <w:tblStyleColBandSize w:val="1"/>
      <w:tblBorders>
        <w:top w:val="single" w:sz="4" w:space="0" w:color="878ADD" w:themeColor="accent1" w:themeTint="66"/>
        <w:left w:val="single" w:sz="4" w:space="0" w:color="878ADD" w:themeColor="accent1" w:themeTint="66"/>
        <w:bottom w:val="single" w:sz="4" w:space="0" w:color="878ADD" w:themeColor="accent1" w:themeTint="66"/>
        <w:right w:val="single" w:sz="4" w:space="0" w:color="878ADD" w:themeColor="accent1" w:themeTint="66"/>
        <w:insideH w:val="single" w:sz="4" w:space="0" w:color="878ADD" w:themeColor="accent1" w:themeTint="66"/>
        <w:insideV w:val="single" w:sz="4" w:space="0" w:color="878ADD" w:themeColor="accent1" w:themeTint="66"/>
      </w:tblBorders>
    </w:tblPr>
    <w:tblStylePr w:type="firstRow">
      <w:rPr>
        <w:b/>
        <w:bCs/>
      </w:rPr>
      <w:tblPr/>
      <w:tcPr>
        <w:tcBorders>
          <w:bottom w:val="single" w:sz="12" w:space="0" w:color="4B50CC" w:themeColor="accent1" w:themeTint="99"/>
        </w:tcBorders>
      </w:tcPr>
    </w:tblStylePr>
    <w:tblStylePr w:type="lastRow">
      <w:rPr>
        <w:b/>
        <w:bCs/>
      </w:rPr>
      <w:tblPr/>
      <w:tcPr>
        <w:tcBorders>
          <w:top w:val="double" w:sz="2" w:space="0" w:color="4B50CC"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locked/>
    <w:rsid w:val="00AE79FA"/>
    <w:pPr>
      <w:spacing w:after="0" w:line="240" w:lineRule="auto"/>
    </w:pPr>
    <w:rPr>
      <w:sz w:val="24"/>
    </w:rPr>
    <w:tblPr>
      <w:tblStyleRowBandSize w:val="1"/>
      <w:tblStyleColBandSize w:val="1"/>
      <w:tblBorders>
        <w:top w:val="single" w:sz="4" w:space="0" w:color="90BCFB" w:themeColor="accent2" w:themeTint="66"/>
        <w:left w:val="single" w:sz="4" w:space="0" w:color="90BCFB" w:themeColor="accent2" w:themeTint="66"/>
        <w:bottom w:val="single" w:sz="4" w:space="0" w:color="90BCFB" w:themeColor="accent2" w:themeTint="66"/>
        <w:right w:val="single" w:sz="4" w:space="0" w:color="90BCFB" w:themeColor="accent2" w:themeTint="66"/>
        <w:insideH w:val="single" w:sz="4" w:space="0" w:color="90BCFB" w:themeColor="accent2" w:themeTint="66"/>
        <w:insideV w:val="single" w:sz="4" w:space="0" w:color="90BCFB" w:themeColor="accent2" w:themeTint="66"/>
      </w:tblBorders>
    </w:tblPr>
    <w:tblStylePr w:type="firstRow">
      <w:rPr>
        <w:b/>
        <w:bCs/>
      </w:rPr>
      <w:tblPr/>
      <w:tcPr>
        <w:tcBorders>
          <w:bottom w:val="single" w:sz="12" w:space="0" w:color="599AF9" w:themeColor="accent2" w:themeTint="99"/>
        </w:tcBorders>
      </w:tcPr>
    </w:tblStylePr>
    <w:tblStylePr w:type="lastRow">
      <w:rPr>
        <w:b/>
        <w:bCs/>
      </w:rPr>
      <w:tblPr/>
      <w:tcPr>
        <w:tcBorders>
          <w:top w:val="double" w:sz="2" w:space="0" w:color="599AF9" w:themeColor="accent2" w:themeTint="99"/>
        </w:tcBorders>
      </w:tcPr>
    </w:tblStylePr>
    <w:tblStylePr w:type="firstCol">
      <w:rPr>
        <w:b/>
        <w:bCs/>
      </w:rPr>
    </w:tblStylePr>
    <w:tblStylePr w:type="lastCol">
      <w:rPr>
        <w:b/>
        <w:bCs/>
      </w:rPr>
    </w:tblStylePr>
  </w:style>
  <w:style w:type="table" w:styleId="ListTable3">
    <w:name w:val="List Table 3"/>
    <w:basedOn w:val="TableNormal"/>
    <w:uiPriority w:val="48"/>
    <w:rsid w:val="00A85B06"/>
    <w:pPr>
      <w:spacing w:after="0" w:line="240" w:lineRule="auto"/>
    </w:pPr>
    <w:tblPr>
      <w:tblStyleRowBandSize w:val="1"/>
      <w:tblStyleColBandSize w:val="1"/>
      <w:tblBorders>
        <w:top w:val="single" w:sz="4" w:space="0" w:color="1C1F63" w:themeColor="text1"/>
        <w:left w:val="single" w:sz="4" w:space="0" w:color="1C1F63" w:themeColor="text1"/>
        <w:bottom w:val="single" w:sz="4" w:space="0" w:color="1C1F63" w:themeColor="text1"/>
        <w:right w:val="single" w:sz="4" w:space="0" w:color="1C1F63" w:themeColor="text1"/>
      </w:tblBorders>
    </w:tblPr>
    <w:tblStylePr w:type="firstRow">
      <w:rPr>
        <w:b/>
        <w:bCs/>
        <w:color w:val="FFFFFF" w:themeColor="background1"/>
      </w:rPr>
      <w:tblPr/>
      <w:tcPr>
        <w:shd w:val="clear" w:color="auto" w:fill="1C1F63" w:themeFill="text1"/>
      </w:tcPr>
    </w:tblStylePr>
    <w:tblStylePr w:type="lastRow">
      <w:rPr>
        <w:b/>
        <w:bCs/>
      </w:rPr>
      <w:tblPr/>
      <w:tcPr>
        <w:tcBorders>
          <w:top w:val="double" w:sz="4" w:space="0" w:color="1C1F63"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C1F63" w:themeColor="text1"/>
          <w:right w:val="single" w:sz="4" w:space="0" w:color="1C1F63" w:themeColor="text1"/>
        </w:tcBorders>
      </w:tcPr>
    </w:tblStylePr>
    <w:tblStylePr w:type="band1Horz">
      <w:tblPr/>
      <w:tcPr>
        <w:tcBorders>
          <w:top w:val="single" w:sz="4" w:space="0" w:color="1C1F63" w:themeColor="text1"/>
          <w:bottom w:val="single" w:sz="4" w:space="0" w:color="1C1F63"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C1F63" w:themeColor="text1"/>
          <w:left w:val="nil"/>
        </w:tcBorders>
      </w:tcPr>
    </w:tblStylePr>
    <w:tblStylePr w:type="swCell">
      <w:tblPr/>
      <w:tcPr>
        <w:tcBorders>
          <w:top w:val="double" w:sz="4" w:space="0" w:color="1C1F63" w:themeColor="text1"/>
          <w:right w:val="nil"/>
        </w:tcBorders>
      </w:tcPr>
    </w:tblStylePr>
  </w:style>
  <w:style w:type="table" w:styleId="ListTable3-Accent1">
    <w:name w:val="List Table 3 Accent 1"/>
    <w:basedOn w:val="TableNormal"/>
    <w:uiPriority w:val="48"/>
    <w:locked/>
    <w:rsid w:val="00A85B06"/>
    <w:pPr>
      <w:spacing w:after="0" w:line="240" w:lineRule="auto"/>
    </w:pPr>
    <w:tblPr>
      <w:tblStyleRowBandSize w:val="1"/>
      <w:tblStyleColBandSize w:val="1"/>
      <w:tblBorders>
        <w:top w:val="single" w:sz="4" w:space="0" w:color="1C1F63" w:themeColor="accent1"/>
        <w:left w:val="single" w:sz="4" w:space="0" w:color="1C1F63" w:themeColor="accent1"/>
        <w:bottom w:val="single" w:sz="4" w:space="0" w:color="1C1F63" w:themeColor="accent1"/>
        <w:right w:val="single" w:sz="4" w:space="0" w:color="1C1F63" w:themeColor="accent1"/>
      </w:tblBorders>
    </w:tblPr>
    <w:tblStylePr w:type="firstRow">
      <w:rPr>
        <w:b/>
        <w:bCs/>
        <w:color w:val="FFFFFF" w:themeColor="background1"/>
      </w:rPr>
      <w:tblPr/>
      <w:tcPr>
        <w:shd w:val="clear" w:color="auto" w:fill="1C1F63" w:themeFill="accent1"/>
      </w:tcPr>
    </w:tblStylePr>
    <w:tblStylePr w:type="lastRow">
      <w:rPr>
        <w:b/>
        <w:bCs/>
      </w:rPr>
      <w:tblPr/>
      <w:tcPr>
        <w:tcBorders>
          <w:top w:val="double" w:sz="4" w:space="0" w:color="1C1F6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C1F63" w:themeColor="accent1"/>
          <w:right w:val="single" w:sz="4" w:space="0" w:color="1C1F63" w:themeColor="accent1"/>
        </w:tcBorders>
      </w:tcPr>
    </w:tblStylePr>
    <w:tblStylePr w:type="band1Horz">
      <w:tblPr/>
      <w:tcPr>
        <w:tcBorders>
          <w:top w:val="single" w:sz="4" w:space="0" w:color="1C1F63" w:themeColor="accent1"/>
          <w:bottom w:val="single" w:sz="4" w:space="0" w:color="1C1F6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C1F63" w:themeColor="accent1"/>
          <w:left w:val="nil"/>
        </w:tcBorders>
      </w:tcPr>
    </w:tblStylePr>
    <w:tblStylePr w:type="swCell">
      <w:tblPr/>
      <w:tcPr>
        <w:tcBorders>
          <w:top w:val="double" w:sz="4" w:space="0" w:color="1C1F63" w:themeColor="accent1"/>
          <w:right w:val="nil"/>
        </w:tcBorders>
      </w:tcPr>
    </w:tblStylePr>
  </w:style>
  <w:style w:type="table" w:styleId="ListTable3-Accent2">
    <w:name w:val="List Table 3 Accent 2"/>
    <w:basedOn w:val="TableNormal"/>
    <w:uiPriority w:val="48"/>
    <w:locked/>
    <w:rsid w:val="00A85B06"/>
    <w:pPr>
      <w:spacing w:after="0" w:line="240" w:lineRule="auto"/>
    </w:pPr>
    <w:tblPr>
      <w:tblStyleRowBandSize w:val="1"/>
      <w:tblStyleColBandSize w:val="1"/>
      <w:tblBorders>
        <w:top w:val="single" w:sz="4" w:space="0" w:color="075EDB" w:themeColor="accent2"/>
        <w:left w:val="single" w:sz="4" w:space="0" w:color="075EDB" w:themeColor="accent2"/>
        <w:bottom w:val="single" w:sz="4" w:space="0" w:color="075EDB" w:themeColor="accent2"/>
        <w:right w:val="single" w:sz="4" w:space="0" w:color="075EDB" w:themeColor="accent2"/>
      </w:tblBorders>
    </w:tblPr>
    <w:tblStylePr w:type="firstRow">
      <w:rPr>
        <w:b/>
        <w:bCs/>
        <w:color w:val="FFFFFF" w:themeColor="background1"/>
      </w:rPr>
      <w:tblPr/>
      <w:tcPr>
        <w:shd w:val="clear" w:color="auto" w:fill="075EDB" w:themeFill="accent2"/>
      </w:tcPr>
    </w:tblStylePr>
    <w:tblStylePr w:type="lastRow">
      <w:rPr>
        <w:b/>
        <w:bCs/>
      </w:rPr>
      <w:tblPr/>
      <w:tcPr>
        <w:tcBorders>
          <w:top w:val="double" w:sz="4" w:space="0" w:color="075ED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75EDB" w:themeColor="accent2"/>
          <w:right w:val="single" w:sz="4" w:space="0" w:color="075EDB" w:themeColor="accent2"/>
        </w:tcBorders>
      </w:tcPr>
    </w:tblStylePr>
    <w:tblStylePr w:type="band1Horz">
      <w:tblPr/>
      <w:tcPr>
        <w:tcBorders>
          <w:top w:val="single" w:sz="4" w:space="0" w:color="075EDB" w:themeColor="accent2"/>
          <w:bottom w:val="single" w:sz="4" w:space="0" w:color="075ED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75EDB" w:themeColor="accent2"/>
          <w:left w:val="nil"/>
        </w:tcBorders>
      </w:tcPr>
    </w:tblStylePr>
    <w:tblStylePr w:type="swCell">
      <w:tblPr/>
      <w:tcPr>
        <w:tcBorders>
          <w:top w:val="double" w:sz="4" w:space="0" w:color="075EDB" w:themeColor="accent2"/>
          <w:right w:val="nil"/>
        </w:tcBorders>
      </w:tcPr>
    </w:tblStylePr>
  </w:style>
  <w:style w:type="table" w:styleId="ListTable3-Accent3">
    <w:name w:val="List Table 3 Accent 3"/>
    <w:basedOn w:val="TableNormal"/>
    <w:uiPriority w:val="48"/>
    <w:locked/>
    <w:rsid w:val="00A85B06"/>
    <w:pPr>
      <w:spacing w:after="0" w:line="240" w:lineRule="auto"/>
    </w:pPr>
    <w:tblPr>
      <w:tblStyleRowBandSize w:val="1"/>
      <w:tblStyleColBandSize w:val="1"/>
      <w:tblBorders>
        <w:top w:val="single" w:sz="4" w:space="0" w:color="1C1F63" w:themeColor="accent3"/>
        <w:left w:val="single" w:sz="4" w:space="0" w:color="1C1F63" w:themeColor="accent3"/>
        <w:bottom w:val="single" w:sz="4" w:space="0" w:color="1C1F63" w:themeColor="accent3"/>
        <w:right w:val="single" w:sz="4" w:space="0" w:color="1C1F63" w:themeColor="accent3"/>
      </w:tblBorders>
    </w:tblPr>
    <w:tblStylePr w:type="firstRow">
      <w:rPr>
        <w:b/>
        <w:bCs/>
        <w:color w:val="FFFFFF" w:themeColor="background1"/>
      </w:rPr>
      <w:tblPr/>
      <w:tcPr>
        <w:shd w:val="clear" w:color="auto" w:fill="1C1F63" w:themeFill="accent3"/>
      </w:tcPr>
    </w:tblStylePr>
    <w:tblStylePr w:type="lastRow">
      <w:rPr>
        <w:b/>
        <w:bCs/>
      </w:rPr>
      <w:tblPr/>
      <w:tcPr>
        <w:tcBorders>
          <w:top w:val="double" w:sz="4" w:space="0" w:color="1C1F63"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C1F63" w:themeColor="accent3"/>
          <w:right w:val="single" w:sz="4" w:space="0" w:color="1C1F63" w:themeColor="accent3"/>
        </w:tcBorders>
      </w:tcPr>
    </w:tblStylePr>
    <w:tblStylePr w:type="band1Horz">
      <w:tblPr/>
      <w:tcPr>
        <w:tcBorders>
          <w:top w:val="single" w:sz="4" w:space="0" w:color="1C1F63" w:themeColor="accent3"/>
          <w:bottom w:val="single" w:sz="4" w:space="0" w:color="1C1F63"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C1F63" w:themeColor="accent3"/>
          <w:left w:val="nil"/>
        </w:tcBorders>
      </w:tcPr>
    </w:tblStylePr>
    <w:tblStylePr w:type="swCell">
      <w:tblPr/>
      <w:tcPr>
        <w:tcBorders>
          <w:top w:val="double" w:sz="4" w:space="0" w:color="1C1F63" w:themeColor="accent3"/>
          <w:right w:val="nil"/>
        </w:tcBorders>
      </w:tcPr>
    </w:tblStylePr>
  </w:style>
  <w:style w:type="table" w:styleId="ListTable3-Accent4">
    <w:name w:val="List Table 3 Accent 4"/>
    <w:basedOn w:val="TableNormal"/>
    <w:uiPriority w:val="48"/>
    <w:locked/>
    <w:rsid w:val="00A85B06"/>
    <w:pPr>
      <w:spacing w:after="0" w:line="240" w:lineRule="auto"/>
    </w:pPr>
    <w:tblPr>
      <w:tblStyleRowBandSize w:val="1"/>
      <w:tblStyleColBandSize w:val="1"/>
      <w:tblBorders>
        <w:top w:val="single" w:sz="4" w:space="0" w:color="075EDB" w:themeColor="accent4"/>
        <w:left w:val="single" w:sz="4" w:space="0" w:color="075EDB" w:themeColor="accent4"/>
        <w:bottom w:val="single" w:sz="4" w:space="0" w:color="075EDB" w:themeColor="accent4"/>
        <w:right w:val="single" w:sz="4" w:space="0" w:color="075EDB" w:themeColor="accent4"/>
      </w:tblBorders>
    </w:tblPr>
    <w:tblStylePr w:type="firstRow">
      <w:rPr>
        <w:b/>
        <w:bCs/>
        <w:color w:val="FFFFFF" w:themeColor="background1"/>
      </w:rPr>
      <w:tblPr/>
      <w:tcPr>
        <w:shd w:val="clear" w:color="auto" w:fill="075EDB" w:themeFill="accent4"/>
      </w:tcPr>
    </w:tblStylePr>
    <w:tblStylePr w:type="lastRow">
      <w:rPr>
        <w:b/>
        <w:bCs/>
      </w:rPr>
      <w:tblPr/>
      <w:tcPr>
        <w:tcBorders>
          <w:top w:val="double" w:sz="4" w:space="0" w:color="075EDB"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75EDB" w:themeColor="accent4"/>
          <w:right w:val="single" w:sz="4" w:space="0" w:color="075EDB" w:themeColor="accent4"/>
        </w:tcBorders>
      </w:tcPr>
    </w:tblStylePr>
    <w:tblStylePr w:type="band1Horz">
      <w:tblPr/>
      <w:tcPr>
        <w:tcBorders>
          <w:top w:val="single" w:sz="4" w:space="0" w:color="075EDB" w:themeColor="accent4"/>
          <w:bottom w:val="single" w:sz="4" w:space="0" w:color="075EDB"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75EDB" w:themeColor="accent4"/>
          <w:left w:val="nil"/>
        </w:tcBorders>
      </w:tcPr>
    </w:tblStylePr>
    <w:tblStylePr w:type="swCell">
      <w:tblPr/>
      <w:tcPr>
        <w:tcBorders>
          <w:top w:val="double" w:sz="4" w:space="0" w:color="075EDB" w:themeColor="accent4"/>
          <w:right w:val="nil"/>
        </w:tcBorders>
      </w:tcPr>
    </w:tblStylePr>
  </w:style>
  <w:style w:type="table" w:styleId="GridTable2">
    <w:name w:val="Grid Table 2"/>
    <w:basedOn w:val="TableNormal"/>
    <w:uiPriority w:val="47"/>
    <w:locked/>
    <w:rsid w:val="00A85B06"/>
    <w:pPr>
      <w:spacing w:after="0" w:line="240" w:lineRule="auto"/>
    </w:pPr>
    <w:tblPr>
      <w:tblStyleRowBandSize w:val="1"/>
      <w:tblStyleColBandSize w:val="1"/>
      <w:tblBorders>
        <w:top w:val="single" w:sz="2" w:space="0" w:color="4B50CC" w:themeColor="text1" w:themeTint="99"/>
        <w:bottom w:val="single" w:sz="2" w:space="0" w:color="4B50CC" w:themeColor="text1" w:themeTint="99"/>
        <w:insideH w:val="single" w:sz="2" w:space="0" w:color="4B50CC" w:themeColor="text1" w:themeTint="99"/>
        <w:insideV w:val="single" w:sz="2" w:space="0" w:color="4B50CC" w:themeColor="text1" w:themeTint="99"/>
      </w:tblBorders>
    </w:tblPr>
    <w:tblStylePr w:type="firstRow">
      <w:rPr>
        <w:b/>
        <w:bCs/>
      </w:rPr>
      <w:tblPr/>
      <w:tcPr>
        <w:tcBorders>
          <w:top w:val="nil"/>
          <w:bottom w:val="single" w:sz="12" w:space="0" w:color="4B50CC" w:themeColor="text1" w:themeTint="99"/>
          <w:insideH w:val="nil"/>
          <w:insideV w:val="nil"/>
        </w:tcBorders>
        <w:shd w:val="clear" w:color="auto" w:fill="FFFFFF" w:themeFill="background1"/>
      </w:tcPr>
    </w:tblStylePr>
    <w:tblStylePr w:type="lastRow">
      <w:rPr>
        <w:b/>
        <w:bCs/>
      </w:rPr>
      <w:tblPr/>
      <w:tcPr>
        <w:tcBorders>
          <w:top w:val="double" w:sz="2" w:space="0" w:color="4B50CC"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3C4EE" w:themeFill="text1" w:themeFillTint="33"/>
      </w:tcPr>
    </w:tblStylePr>
    <w:tblStylePr w:type="band1Horz">
      <w:tblPr/>
      <w:tcPr>
        <w:shd w:val="clear" w:color="auto" w:fill="C3C4EE" w:themeFill="text1" w:themeFillTint="33"/>
      </w:tcPr>
    </w:tblStylePr>
  </w:style>
  <w:style w:type="table" w:styleId="ListTable1Light">
    <w:name w:val="List Table 1 Light"/>
    <w:basedOn w:val="TableNormal"/>
    <w:uiPriority w:val="46"/>
    <w:rsid w:val="00A85B06"/>
    <w:pPr>
      <w:spacing w:after="0" w:line="240" w:lineRule="auto"/>
    </w:pPr>
    <w:tblPr>
      <w:tblStyleRowBandSize w:val="1"/>
      <w:tblStyleColBandSize w:val="1"/>
    </w:tblPr>
    <w:tblStylePr w:type="firstRow">
      <w:rPr>
        <w:b/>
        <w:bCs/>
      </w:rPr>
      <w:tblPr/>
      <w:tcPr>
        <w:tcBorders>
          <w:bottom w:val="single" w:sz="4" w:space="0" w:color="4B50CC" w:themeColor="text1" w:themeTint="99"/>
        </w:tcBorders>
      </w:tcPr>
    </w:tblStylePr>
    <w:tblStylePr w:type="lastRow">
      <w:rPr>
        <w:b/>
        <w:bCs/>
      </w:rPr>
      <w:tblPr/>
      <w:tcPr>
        <w:tcBorders>
          <w:top w:val="single" w:sz="4" w:space="0" w:color="4B50CC" w:themeColor="text1" w:themeTint="99"/>
        </w:tcBorders>
      </w:tcPr>
    </w:tblStylePr>
    <w:tblStylePr w:type="firstCol">
      <w:rPr>
        <w:b/>
        <w:bCs/>
      </w:rPr>
    </w:tblStylePr>
    <w:tblStylePr w:type="lastCol">
      <w:rPr>
        <w:b/>
        <w:bCs/>
      </w:rPr>
    </w:tblStylePr>
    <w:tblStylePr w:type="band1Vert">
      <w:tblPr/>
      <w:tcPr>
        <w:shd w:val="clear" w:color="auto" w:fill="C3C4EE" w:themeFill="text1" w:themeFillTint="33"/>
      </w:tcPr>
    </w:tblStylePr>
    <w:tblStylePr w:type="band1Horz">
      <w:tblPr/>
      <w:tcPr>
        <w:shd w:val="clear" w:color="auto" w:fill="C3C4EE" w:themeFill="text1" w:themeFillTint="33"/>
      </w:tcPr>
    </w:tblStylePr>
  </w:style>
  <w:style w:type="table" w:styleId="ListTable2">
    <w:name w:val="List Table 2"/>
    <w:basedOn w:val="TableNormal"/>
    <w:uiPriority w:val="47"/>
    <w:locked/>
    <w:rsid w:val="00A85B06"/>
    <w:pPr>
      <w:spacing w:after="0" w:line="240" w:lineRule="auto"/>
    </w:pPr>
    <w:tblPr>
      <w:tblStyleRowBandSize w:val="1"/>
      <w:tblStyleColBandSize w:val="1"/>
      <w:tblBorders>
        <w:top w:val="single" w:sz="4" w:space="0" w:color="4B50CC" w:themeColor="text1" w:themeTint="99"/>
        <w:bottom w:val="single" w:sz="4" w:space="0" w:color="4B50CC" w:themeColor="text1" w:themeTint="99"/>
        <w:insideH w:val="single" w:sz="4" w:space="0" w:color="4B50CC"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C4EE" w:themeFill="text1" w:themeFillTint="33"/>
      </w:tcPr>
    </w:tblStylePr>
    <w:tblStylePr w:type="band1Horz">
      <w:tblPr/>
      <w:tcPr>
        <w:shd w:val="clear" w:color="auto" w:fill="C3C4EE" w:themeFill="text1" w:themeFillTint="33"/>
      </w:tcPr>
    </w:tblStylePr>
  </w:style>
  <w:style w:type="character" w:styleId="Hyperlink">
    <w:name w:val="Hyperlink"/>
    <w:basedOn w:val="DefaultParagraphFont"/>
    <w:uiPriority w:val="99"/>
    <w:rsid w:val="00DE704D"/>
    <w:rPr>
      <w:color w:val="075EDB" w:themeColor="hyperlink"/>
      <w:u w:val="single"/>
    </w:rPr>
  </w:style>
  <w:style w:type="character" w:styleId="UnresolvedMention">
    <w:name w:val="Unresolved Mention"/>
    <w:basedOn w:val="DefaultParagraphFont"/>
    <w:uiPriority w:val="99"/>
    <w:semiHidden/>
    <w:rsid w:val="00DE704D"/>
    <w:rPr>
      <w:color w:val="605E5C"/>
      <w:shd w:val="clear" w:color="auto" w:fill="E1DFDD"/>
    </w:rPr>
  </w:style>
  <w:style w:type="character" w:styleId="FollowedHyperlink">
    <w:name w:val="FollowedHyperlink"/>
    <w:basedOn w:val="DefaultParagraphFont"/>
    <w:uiPriority w:val="99"/>
    <w:semiHidden/>
    <w:rsid w:val="00DE704D"/>
    <w:rPr>
      <w:color w:val="8605E4" w:themeColor="followedHyperlink"/>
      <w:u w:val="single"/>
    </w:rPr>
  </w:style>
  <w:style w:type="character" w:customStyle="1" w:styleId="Heading1Char">
    <w:name w:val="Heading 1 Char"/>
    <w:basedOn w:val="DefaultParagraphFont"/>
    <w:link w:val="Heading1"/>
    <w:uiPriority w:val="9"/>
    <w:rsid w:val="007F69F7"/>
    <w:rPr>
      <w:rFonts w:ascii="Arial Black" w:eastAsiaTheme="majorEastAsia" w:hAnsi="Arial Black" w:cstheme="majorBidi"/>
      <w:color w:val="1C1F63" w:themeColor="text1"/>
      <w:sz w:val="48"/>
      <w:szCs w:val="32"/>
      <w:lang w:val="en-GB"/>
    </w:rPr>
  </w:style>
  <w:style w:type="character" w:customStyle="1" w:styleId="Heading2Char">
    <w:name w:val="Heading 2 Char"/>
    <w:basedOn w:val="DefaultParagraphFont"/>
    <w:link w:val="Heading2"/>
    <w:uiPriority w:val="9"/>
    <w:rsid w:val="007F69F7"/>
    <w:rPr>
      <w:rFonts w:ascii="Arial Black" w:eastAsiaTheme="majorEastAsia" w:hAnsi="Arial Black" w:cstheme="majorBidi"/>
      <w:color w:val="1C1F63" w:themeColor="text1"/>
      <w:sz w:val="28"/>
      <w:szCs w:val="26"/>
      <w:lang w:val="en-GB"/>
    </w:rPr>
  </w:style>
  <w:style w:type="character" w:customStyle="1" w:styleId="Heading3Char">
    <w:name w:val="Heading 3 Char"/>
    <w:basedOn w:val="DefaultParagraphFont"/>
    <w:link w:val="Heading3"/>
    <w:uiPriority w:val="9"/>
    <w:semiHidden/>
    <w:rsid w:val="000C49E4"/>
    <w:rPr>
      <w:rFonts w:asciiTheme="majorHAnsi" w:eastAsiaTheme="majorEastAsia" w:hAnsiTheme="majorHAnsi" w:cstheme="majorBidi"/>
      <w:color w:val="0E0F31" w:themeColor="accent1" w:themeShade="7F"/>
      <w:sz w:val="24"/>
      <w:szCs w:val="24"/>
      <w:lang w:val="en-GB"/>
    </w:rPr>
  </w:style>
  <w:style w:type="paragraph" w:customStyle="1" w:styleId="BodyText1">
    <w:name w:val="Body Text1"/>
    <w:basedOn w:val="Normal"/>
    <w:link w:val="BodytextChar"/>
    <w:qFormat/>
    <w:rsid w:val="00CD34FB"/>
    <w:pPr>
      <w:spacing w:after="200" w:line="276" w:lineRule="auto"/>
    </w:pPr>
    <w:rPr>
      <w:rFonts w:eastAsiaTheme="minorEastAsia" w:cs="Arial"/>
      <w:color w:val="1C1F63" w:themeColor="text1"/>
      <w:szCs w:val="24"/>
      <w:lang w:eastAsia="en-GB"/>
    </w:rPr>
  </w:style>
  <w:style w:type="character" w:customStyle="1" w:styleId="BodytextChar">
    <w:name w:val="Body text Char"/>
    <w:basedOn w:val="DefaultParagraphFont"/>
    <w:link w:val="BodyText1"/>
    <w:rsid w:val="005A01E6"/>
    <w:rPr>
      <w:rFonts w:ascii="Arial" w:eastAsiaTheme="minorEastAsia" w:hAnsi="Arial" w:cs="Arial"/>
      <w:color w:val="1C1F63" w:themeColor="text1"/>
      <w:sz w:val="24"/>
      <w:szCs w:val="24"/>
      <w:lang w:val="en-GB" w:eastAsia="en-GB"/>
    </w:rPr>
  </w:style>
  <w:style w:type="paragraph" w:customStyle="1" w:styleId="StyleStyleHeading128ptAfter24pt">
    <w:name w:val="Style Style Heading 1 + 28 pt + After:  24 pt"/>
    <w:basedOn w:val="Normal"/>
    <w:rsid w:val="00CD34FB"/>
    <w:pPr>
      <w:tabs>
        <w:tab w:val="left" w:pos="2552"/>
      </w:tabs>
      <w:spacing w:after="480" w:line="276" w:lineRule="auto"/>
      <w:outlineLvl w:val="0"/>
    </w:pPr>
    <w:rPr>
      <w:rFonts w:eastAsia="Times New Roman" w:cs="Times New Roman"/>
      <w:b/>
      <w:bCs/>
      <w:color w:val="003087"/>
      <w:sz w:val="56"/>
      <w:szCs w:val="20"/>
      <w:lang w:eastAsia="en-GB"/>
    </w:rPr>
  </w:style>
  <w:style w:type="paragraph" w:styleId="TOC1">
    <w:name w:val="toc 1"/>
    <w:basedOn w:val="Normal"/>
    <w:next w:val="Normal"/>
    <w:uiPriority w:val="39"/>
    <w:qFormat/>
    <w:rsid w:val="00BD7C7F"/>
    <w:pPr>
      <w:tabs>
        <w:tab w:val="left" w:pos="720"/>
        <w:tab w:val="left" w:leader="dot" w:pos="8640"/>
      </w:tabs>
      <w:spacing w:before="240" w:after="200" w:line="276" w:lineRule="auto"/>
    </w:pPr>
    <w:rPr>
      <w:rFonts w:eastAsiaTheme="minorEastAsia"/>
      <w:b/>
      <w:color w:val="1C1F63" w:themeColor="text1"/>
      <w:szCs w:val="20"/>
    </w:rPr>
  </w:style>
  <w:style w:type="paragraph" w:styleId="TOC2">
    <w:name w:val="toc 2"/>
    <w:basedOn w:val="Normal"/>
    <w:next w:val="Normal"/>
    <w:autoRedefine/>
    <w:uiPriority w:val="39"/>
    <w:qFormat/>
    <w:rsid w:val="001E14C8"/>
    <w:pPr>
      <w:tabs>
        <w:tab w:val="left" w:pos="630"/>
        <w:tab w:val="right" w:leader="dot" w:pos="8730"/>
      </w:tabs>
      <w:spacing w:after="200" w:line="276" w:lineRule="auto"/>
    </w:pPr>
    <w:rPr>
      <w:rFonts w:eastAsiaTheme="minorEastAsia"/>
      <w:lang w:val="en-US" w:eastAsia="ja-JP"/>
    </w:rPr>
  </w:style>
  <w:style w:type="paragraph" w:styleId="TOC3">
    <w:name w:val="toc 3"/>
    <w:basedOn w:val="Normal"/>
    <w:next w:val="Normal"/>
    <w:autoRedefine/>
    <w:uiPriority w:val="39"/>
    <w:qFormat/>
    <w:rsid w:val="001E14C8"/>
    <w:pPr>
      <w:tabs>
        <w:tab w:val="left" w:pos="1260"/>
        <w:tab w:val="left" w:pos="1350"/>
        <w:tab w:val="right" w:leader="dot" w:pos="8730"/>
      </w:tabs>
      <w:spacing w:after="200" w:line="276" w:lineRule="auto"/>
      <w:ind w:left="630"/>
    </w:pPr>
    <w:rPr>
      <w:rFonts w:eastAsiaTheme="minorEastAsia"/>
      <w:noProof/>
      <w:lang w:val="en-US" w:eastAsia="ja-JP"/>
    </w:rPr>
  </w:style>
  <w:style w:type="paragraph" w:styleId="TOCHeading">
    <w:name w:val="TOC Heading"/>
    <w:basedOn w:val="Heading1"/>
    <w:next w:val="Normal"/>
    <w:uiPriority w:val="39"/>
    <w:unhideWhenUsed/>
    <w:qFormat/>
    <w:rsid w:val="00EE7F6C"/>
    <w:pPr>
      <w:outlineLvl w:val="9"/>
    </w:pPr>
    <w:rPr>
      <w:rFonts w:asciiTheme="majorHAnsi" w:hAnsiTheme="majorHAnsi"/>
      <w:color w:val="15174A" w:themeColor="accent1" w:themeShade="BF"/>
      <w:sz w:val="32"/>
      <w:lang w:val="en-US"/>
    </w:rPr>
  </w:style>
  <w:style w:type="character" w:customStyle="1" w:styleId="ListParagraphChar">
    <w:name w:val="List Paragraph Char"/>
    <w:link w:val="ListParagraph"/>
    <w:uiPriority w:val="34"/>
    <w:locked/>
    <w:rsid w:val="007F6B01"/>
    <w:rPr>
      <w:rFonts w:ascii="Arial" w:hAnsi="Arial"/>
      <w:sz w:val="24"/>
      <w:lang w:val="en-GB"/>
    </w:rPr>
  </w:style>
  <w:style w:type="paragraph" w:customStyle="1" w:styleId="NormalBody">
    <w:name w:val="Normal Body"/>
    <w:basedOn w:val="Normal"/>
    <w:next w:val="Normal"/>
    <w:rsid w:val="007F6B01"/>
    <w:pPr>
      <w:spacing w:after="0" w:line="240" w:lineRule="auto"/>
    </w:pPr>
    <w:rPr>
      <w:rFonts w:ascii="Calibri" w:eastAsia="Calibri" w:hAnsi="Calibri" w:cs="Times New Roman"/>
      <w:color w:val="606362"/>
    </w:rPr>
  </w:style>
  <w:style w:type="paragraph" w:customStyle="1" w:styleId="NormalDark">
    <w:name w:val="Normal Dark"/>
    <w:basedOn w:val="Normal"/>
    <w:qFormat/>
    <w:rsid w:val="007F6B01"/>
    <w:pPr>
      <w:spacing w:after="0" w:line="240" w:lineRule="auto"/>
    </w:pPr>
    <w:rPr>
      <w:rFonts w:ascii="Calibri" w:eastAsia="Calibri" w:hAnsi="Calibri" w:cs="Times New Roman"/>
      <w:color w:val="262626"/>
    </w:rPr>
  </w:style>
  <w:style w:type="character" w:customStyle="1" w:styleId="Head3Char">
    <w:name w:val="Head 3 Char"/>
    <w:basedOn w:val="DefaultParagraphFont"/>
    <w:link w:val="Head3"/>
    <w:locked/>
    <w:rsid w:val="007F6B01"/>
    <w:rPr>
      <w:rFonts w:ascii="Arial" w:hAnsi="Arial" w:cs="Arial"/>
      <w:b/>
      <w:color w:val="1C1F63" w:themeColor="text1"/>
      <w:sz w:val="24"/>
      <w:szCs w:val="24"/>
    </w:rPr>
  </w:style>
  <w:style w:type="paragraph" w:customStyle="1" w:styleId="Head3">
    <w:name w:val="Head 3"/>
    <w:basedOn w:val="Normal"/>
    <w:link w:val="Head3Char"/>
    <w:qFormat/>
    <w:rsid w:val="007F6B01"/>
    <w:pPr>
      <w:spacing w:after="200" w:line="276" w:lineRule="auto"/>
    </w:pPr>
    <w:rPr>
      <w:rFonts w:cs="Arial"/>
      <w:b/>
      <w:color w:val="1C1F63" w:themeColor="text1"/>
      <w:szCs w:val="24"/>
      <w:lang w:val="en-US"/>
    </w:rPr>
  </w:style>
  <w:style w:type="paragraph" w:customStyle="1" w:styleId="Mainitembody">
    <w:name w:val="Main item body"/>
    <w:basedOn w:val="Normal"/>
    <w:rsid w:val="007F6B01"/>
    <w:pPr>
      <w:spacing w:before="160" w:after="0" w:line="240" w:lineRule="auto"/>
      <w:ind w:left="720"/>
    </w:pPr>
    <w:rPr>
      <w:rFonts w:eastAsia="Times New Roman" w:cs="Times New Roman"/>
      <w:sz w:val="22"/>
      <w:szCs w:val="20"/>
    </w:rPr>
  </w:style>
  <w:style w:type="table" w:customStyle="1" w:styleId="TableGrid1">
    <w:name w:val="Table Grid1"/>
    <w:basedOn w:val="TableNormal"/>
    <w:next w:val="TableGrid"/>
    <w:uiPriority w:val="59"/>
    <w:rsid w:val="007F6B01"/>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hyperlink" Target="https://www.cqc.org.uk/sites/default/files/20180419%20Code%20of%20practice%20on%20CPI%20with%20GDPR%20and%20IRMER%20updates.pdf" TargetMode="External"/><Relationship Id="rId26" Type="http://schemas.openxmlformats.org/officeDocument/2006/relationships/oleObject" Target="embeddings/oleObject1.bin"/><Relationship Id="rId3" Type="http://schemas.openxmlformats.org/officeDocument/2006/relationships/customXml" Target="../customXml/item3.xml"/><Relationship Id="rId21" Type="http://schemas.openxmlformats.org/officeDocument/2006/relationships/hyperlink" Target="https://www.gov.uk/government/publications/records-management-code-of-practice-for-health-and-social-care" TargetMode="External"/><Relationship Id="rId7" Type="http://schemas.openxmlformats.org/officeDocument/2006/relationships/settings" Target="settings.xml"/><Relationship Id="rId12" Type="http://schemas.openxmlformats.org/officeDocument/2006/relationships/diagramData" Target="diagrams/data1.xml"/><Relationship Id="rId17" Type="http://schemas.openxmlformats.org/officeDocument/2006/relationships/hyperlink" Target="https://ico.org.uk/for-organisations/guide-to-the-general-data-protection-regulation-gdpr/" TargetMode="External"/><Relationship Id="rId25" Type="http://schemas.openxmlformats.org/officeDocument/2006/relationships/image" Target="media/image2.emf"/><Relationship Id="rId33" Type="http://schemas.openxmlformats.org/officeDocument/2006/relationships/theme" Target="theme/theme1.xm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hyperlink" Target="https://www.england.nhs.uk/publication/confidentiality-policy/"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ico.org.uk/for-organisations/sme-web-hub/whats-new/blogs/installing-cctv-things-you-need-to-do-first/"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diagramColors" Target="diagrams/colors1.xml"/><Relationship Id="rId23" Type="http://schemas.openxmlformats.org/officeDocument/2006/relationships/hyperlink" Target="https://www.gov.uk/government/publications/confidentiality-nhs-code-of-practice-supplementary-guidance-public-interest-disclosures"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digital.nhs.uk/data-and-information/looking-after-information" TargetMode="Externa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QuickStyle" Target="diagrams/quickStyle1.xml"/><Relationship Id="rId22" Type="http://schemas.openxmlformats.org/officeDocument/2006/relationships/hyperlink" Target="https://www.gov.uk/government/publications/confidentiality-nhs-code-of-practice" TargetMode="External"/><Relationship Id="rId27" Type="http://schemas.openxmlformats.org/officeDocument/2006/relationships/header" Target="header1.xml"/><Relationship Id="rId30" Type="http://schemas.openxmlformats.org/officeDocument/2006/relationships/header" Target="header2.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06B967B-2B7B-4DE0-B4FC-E54B53D3FDDF}" type="doc">
      <dgm:prSet loTypeId="urn:microsoft.com/office/officeart/2005/8/layout/hierarchy3" loCatId="list" qsTypeId="urn:microsoft.com/office/officeart/2005/8/quickstyle/simple4" qsCatId="simple" csTypeId="urn:microsoft.com/office/officeart/2005/8/colors/accent1_2" csCatId="accent1" phldr="1"/>
      <dgm:spPr/>
      <dgm:t>
        <a:bodyPr/>
        <a:lstStyle/>
        <a:p>
          <a:endParaRPr lang="en-US"/>
        </a:p>
      </dgm:t>
    </dgm:pt>
    <dgm:pt modelId="{F86966C4-94BF-4AFC-B28A-438BC34380CF}">
      <dgm:prSet custT="1"/>
      <dgm:spPr>
        <a:xfrm>
          <a:off x="1622943" y="733497"/>
          <a:ext cx="3220278" cy="1903486"/>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nchor="t" anchorCtr="0"/>
        <a:lstStyle/>
        <a:p>
          <a:pPr algn="ctr"/>
          <a:r>
            <a:rPr lang="en-GB" sz="1600" b="1">
              <a:solidFill>
                <a:sysClr val="window" lastClr="FFFFFF"/>
              </a:solidFill>
              <a:latin typeface="Calibri"/>
              <a:ea typeface="+mn-ea"/>
              <a:cs typeface="+mn-cs"/>
            </a:rPr>
            <a:t>IG Management </a:t>
          </a:r>
        </a:p>
        <a:p>
          <a:pPr algn="ctr"/>
          <a:r>
            <a:rPr lang="en-GB" sz="1600" b="1">
              <a:solidFill>
                <a:sysClr val="window" lastClr="FFFFFF"/>
              </a:solidFill>
              <a:latin typeface="Calibri"/>
              <a:ea typeface="+mn-ea"/>
              <a:cs typeface="+mn-cs"/>
            </a:rPr>
            <a:t>Framework</a:t>
          </a:r>
        </a:p>
      </dgm:t>
    </dgm:pt>
    <dgm:pt modelId="{7DEBD706-EA4D-4D2C-8847-6086AD91BF49}" type="parTrans" cxnId="{0CBC68E3-3BD1-4D02-9FE9-D0FAC76AC4C3}">
      <dgm:prSet/>
      <dgm:spPr/>
      <dgm:t>
        <a:bodyPr/>
        <a:lstStyle/>
        <a:p>
          <a:pPr algn="ctr"/>
          <a:endParaRPr lang="en-GB" sz="900"/>
        </a:p>
      </dgm:t>
    </dgm:pt>
    <dgm:pt modelId="{3D2F13AB-2298-42F8-B448-612BCC3D2DA6}" type="sibTrans" cxnId="{0CBC68E3-3BD1-4D02-9FE9-D0FAC76AC4C3}">
      <dgm:prSet/>
      <dgm:spPr/>
      <dgm:t>
        <a:bodyPr/>
        <a:lstStyle/>
        <a:p>
          <a:pPr algn="ctr"/>
          <a:endParaRPr lang="en-GB" sz="900"/>
        </a:p>
      </dgm:t>
    </dgm:pt>
    <dgm:pt modelId="{E63414E0-B630-470D-9C50-C99673D89E8E}">
      <dgm:prSet custT="1"/>
      <dgm:spPr>
        <a:xfrm>
          <a:off x="2266998" y="2750596"/>
          <a:ext cx="1979998" cy="454450"/>
        </a:xfrm>
        <a:solidFill>
          <a:schemeClr val="accent1">
            <a:lumMod val="60000"/>
            <a:lumOff val="40000"/>
            <a:alpha val="90000"/>
          </a:schemeClr>
        </a:solidFill>
        <a:ln w="9525" cap="flat" cmpd="sng" algn="ctr">
          <a:solidFill>
            <a:srgbClr val="4F81BD">
              <a:hueOff val="0"/>
              <a:satOff val="0"/>
              <a:lumOff val="0"/>
              <a:alphaOff val="0"/>
            </a:srgbClr>
          </a:solidFill>
          <a:prstDash val="solid"/>
        </a:ln>
        <a:effectLst/>
      </dgm:spPr>
      <dgm:t>
        <a:bodyPr/>
        <a:lstStyle/>
        <a:p>
          <a:pPr algn="ctr"/>
          <a:r>
            <a:rPr lang="en-GB" sz="900" b="1">
              <a:solidFill>
                <a:schemeClr val="bg1"/>
              </a:solidFill>
              <a:latin typeface="Calibri"/>
              <a:ea typeface="+mn-ea"/>
              <a:cs typeface="+mn-cs"/>
            </a:rPr>
            <a:t>Freedom of Information Policy</a:t>
          </a:r>
        </a:p>
        <a:p>
          <a:pPr algn="ctr"/>
          <a:r>
            <a:rPr lang="en-GB" sz="900" b="1">
              <a:solidFill>
                <a:schemeClr val="bg1"/>
              </a:solidFill>
              <a:latin typeface="Calibri"/>
              <a:ea typeface="+mn-ea"/>
              <a:cs typeface="+mn-cs"/>
            </a:rPr>
            <a:t>Individual Rights Policy</a:t>
          </a:r>
        </a:p>
      </dgm:t>
    </dgm:pt>
    <dgm:pt modelId="{793CF1FF-18B7-4068-8D45-CAFCA4780FC7}" type="parTrans" cxnId="{B9D45C12-35CF-4531-8EF5-96BD59496235}">
      <dgm:prSet/>
      <dgm:spPr>
        <a:xfrm>
          <a:off x="1944971" y="2636984"/>
          <a:ext cx="322027" cy="340837"/>
        </a:xfrm>
        <a:noFill/>
        <a:ln w="9525" cap="flat" cmpd="sng" algn="ctr">
          <a:solidFill>
            <a:srgbClr val="4F81BD">
              <a:shade val="60000"/>
              <a:hueOff val="0"/>
              <a:satOff val="0"/>
              <a:lumOff val="0"/>
              <a:alphaOff val="0"/>
            </a:srgbClr>
          </a:solidFill>
          <a:prstDash val="solid"/>
        </a:ln>
        <a:effectLst/>
      </dgm:spPr>
      <dgm:t>
        <a:bodyPr/>
        <a:lstStyle/>
        <a:p>
          <a:pPr algn="ctr"/>
          <a:endParaRPr lang="en-GB" sz="900"/>
        </a:p>
      </dgm:t>
    </dgm:pt>
    <dgm:pt modelId="{57C0C9B9-293F-4D80-8709-A0800A989ED3}" type="sibTrans" cxnId="{B9D45C12-35CF-4531-8EF5-96BD59496235}">
      <dgm:prSet/>
      <dgm:spPr/>
      <dgm:t>
        <a:bodyPr/>
        <a:lstStyle/>
        <a:p>
          <a:pPr algn="ctr"/>
          <a:endParaRPr lang="en-GB" sz="900"/>
        </a:p>
      </dgm:t>
    </dgm:pt>
    <dgm:pt modelId="{661B9B9B-4087-485A-AE83-59692FAE51AC}">
      <dgm:prSet custT="1"/>
      <dgm:spPr>
        <a:xfrm>
          <a:off x="2266998" y="3318659"/>
          <a:ext cx="1997646" cy="454450"/>
        </a:xfrm>
        <a:solidFill>
          <a:schemeClr val="accent1">
            <a:lumMod val="60000"/>
            <a:lumOff val="40000"/>
            <a:alpha val="90000"/>
          </a:schemeClr>
        </a:solidFill>
        <a:ln w="9525" cap="flat" cmpd="sng" algn="ctr">
          <a:solidFill>
            <a:srgbClr val="4F81BD">
              <a:hueOff val="0"/>
              <a:satOff val="0"/>
              <a:lumOff val="0"/>
              <a:alphaOff val="0"/>
            </a:srgbClr>
          </a:solidFill>
          <a:prstDash val="solid"/>
        </a:ln>
        <a:effectLst/>
      </dgm:spPr>
      <dgm:t>
        <a:bodyPr/>
        <a:lstStyle/>
        <a:p>
          <a:pPr algn="ctr"/>
          <a:r>
            <a:rPr lang="en-GB" sz="900" b="1">
              <a:solidFill>
                <a:schemeClr val="bg1"/>
              </a:solidFill>
              <a:latin typeface="Calibri"/>
              <a:ea typeface="+mn-ea"/>
              <a:cs typeface="+mn-cs"/>
            </a:rPr>
            <a:t>Confidentiality and Security of Information Policy</a:t>
          </a:r>
        </a:p>
      </dgm:t>
    </dgm:pt>
    <dgm:pt modelId="{FC719324-DC74-4BBF-8856-D9472E7F92A8}" type="parTrans" cxnId="{2383D130-4112-4910-A472-E20F85015C05}">
      <dgm:prSet/>
      <dgm:spPr>
        <a:xfrm>
          <a:off x="1944971" y="2636984"/>
          <a:ext cx="322027" cy="908900"/>
        </a:xfrm>
        <a:noFill/>
        <a:ln w="9525" cap="flat" cmpd="sng" algn="ctr">
          <a:solidFill>
            <a:srgbClr val="4F81BD">
              <a:shade val="60000"/>
              <a:hueOff val="0"/>
              <a:satOff val="0"/>
              <a:lumOff val="0"/>
              <a:alphaOff val="0"/>
            </a:srgbClr>
          </a:solidFill>
          <a:prstDash val="solid"/>
        </a:ln>
        <a:effectLst/>
      </dgm:spPr>
      <dgm:t>
        <a:bodyPr/>
        <a:lstStyle/>
        <a:p>
          <a:pPr algn="ctr"/>
          <a:endParaRPr lang="en-GB" sz="900"/>
        </a:p>
      </dgm:t>
    </dgm:pt>
    <dgm:pt modelId="{064C8464-7F04-42D6-BCBD-6F094822660E}" type="sibTrans" cxnId="{2383D130-4112-4910-A472-E20F85015C05}">
      <dgm:prSet/>
      <dgm:spPr/>
      <dgm:t>
        <a:bodyPr/>
        <a:lstStyle/>
        <a:p>
          <a:pPr algn="ctr"/>
          <a:endParaRPr lang="en-GB" sz="900"/>
        </a:p>
      </dgm:t>
    </dgm:pt>
    <dgm:pt modelId="{CA4D76A5-D19C-49AB-9E1C-F39864890ECC}">
      <dgm:prSet custT="1"/>
      <dgm:spPr>
        <a:xfrm>
          <a:off x="4364" y="733497"/>
          <a:ext cx="1391353" cy="1934762"/>
        </a:xfrm>
        <a:solidFill>
          <a:srgbClr val="92D050">
            <a:alpha val="50000"/>
          </a:srgbClr>
        </a:solidFill>
        <a:ln>
          <a:noFill/>
        </a:ln>
        <a:effectLst>
          <a:outerShdw blurRad="40000" dist="23000" dir="5400000" rotWithShape="0">
            <a:srgbClr val="000000">
              <a:alpha val="35000"/>
            </a:srgbClr>
          </a:outerShdw>
        </a:effectLst>
      </dgm:spPr>
      <dgm:t>
        <a:bodyPr/>
        <a:lstStyle/>
        <a:p>
          <a:r>
            <a:rPr lang="en-GB" sz="900" b="1">
              <a:solidFill>
                <a:sysClr val="window" lastClr="FFFFFF"/>
              </a:solidFill>
              <a:latin typeface="Calibri"/>
              <a:ea typeface="+mn-ea"/>
              <a:cs typeface="+mn-cs"/>
            </a:rPr>
            <a:t>IT Services Information Security Policies</a:t>
          </a:r>
        </a:p>
      </dgm:t>
    </dgm:pt>
    <dgm:pt modelId="{E561A826-0AF8-44F2-BC18-F97FD029260E}" type="parTrans" cxnId="{1AEC6860-E86F-4AC1-89A0-1BD77A3A68F6}">
      <dgm:prSet/>
      <dgm:spPr/>
      <dgm:t>
        <a:bodyPr/>
        <a:lstStyle/>
        <a:p>
          <a:pPr algn="ctr"/>
          <a:endParaRPr lang="en-GB" sz="900"/>
        </a:p>
      </dgm:t>
    </dgm:pt>
    <dgm:pt modelId="{6EB668BA-E80D-452C-B929-5F3C13E69EFB}" type="sibTrans" cxnId="{1AEC6860-E86F-4AC1-89A0-1BD77A3A68F6}">
      <dgm:prSet/>
      <dgm:spPr/>
      <dgm:t>
        <a:bodyPr/>
        <a:lstStyle/>
        <a:p>
          <a:pPr algn="ctr"/>
          <a:endParaRPr lang="en-GB" sz="900"/>
        </a:p>
      </dgm:t>
    </dgm:pt>
    <dgm:pt modelId="{5D58C39C-1D26-4D14-8312-44321ED7D5E3}">
      <dgm:prSet custT="1"/>
      <dgm:spPr>
        <a:xfrm>
          <a:off x="5104048" y="731020"/>
          <a:ext cx="1464428" cy="1934384"/>
        </a:xfrm>
        <a:solidFill>
          <a:srgbClr val="A1368B">
            <a:alpha val="49804"/>
          </a:srgbClr>
        </a:solidFill>
        <a:ln>
          <a:noFill/>
        </a:ln>
        <a:effectLst>
          <a:outerShdw blurRad="40000" dist="23000" dir="5400000" rotWithShape="0">
            <a:srgbClr val="000000">
              <a:alpha val="35000"/>
            </a:srgbClr>
          </a:outerShdw>
        </a:effectLst>
      </dgm:spPr>
      <dgm:t>
        <a:bodyPr/>
        <a:lstStyle/>
        <a:p>
          <a:pPr algn="ctr"/>
          <a:r>
            <a:rPr lang="en-GB" sz="900" b="1">
              <a:solidFill>
                <a:sysClr val="window" lastClr="FFFFFF"/>
              </a:solidFill>
              <a:latin typeface="Calibri"/>
              <a:ea typeface="+mn-ea"/>
              <a:cs typeface="+mn-cs"/>
            </a:rPr>
            <a:t>Information Risk Management Process</a:t>
          </a:r>
        </a:p>
      </dgm:t>
    </dgm:pt>
    <dgm:pt modelId="{23B94111-1DBB-414F-B3D3-63AE5BD2BAE2}" type="parTrans" cxnId="{105E92DB-2FD7-4C8A-B867-0893F85E2F43}">
      <dgm:prSet/>
      <dgm:spPr/>
      <dgm:t>
        <a:bodyPr/>
        <a:lstStyle/>
        <a:p>
          <a:pPr algn="ctr"/>
          <a:endParaRPr lang="en-GB" sz="900"/>
        </a:p>
      </dgm:t>
    </dgm:pt>
    <dgm:pt modelId="{2E0256D0-A5B2-4415-887E-AB982FD82BCF}" type="sibTrans" cxnId="{105E92DB-2FD7-4C8A-B867-0893F85E2F43}">
      <dgm:prSet/>
      <dgm:spPr/>
      <dgm:t>
        <a:bodyPr/>
        <a:lstStyle/>
        <a:p>
          <a:pPr algn="ctr"/>
          <a:endParaRPr lang="en-GB" sz="900"/>
        </a:p>
      </dgm:t>
    </dgm:pt>
    <dgm:pt modelId="{42F22835-285A-4DA5-87D4-CCE36E638AC1}">
      <dgm:prSet custT="1"/>
      <dgm:spPr>
        <a:xfrm>
          <a:off x="2266998" y="3886722"/>
          <a:ext cx="1979998" cy="454450"/>
        </a:xfrm>
        <a:solidFill>
          <a:schemeClr val="accent1">
            <a:lumMod val="60000"/>
            <a:lumOff val="40000"/>
            <a:alpha val="90000"/>
          </a:schemeClr>
        </a:solidFill>
        <a:ln w="9525" cap="flat" cmpd="sng" algn="ctr">
          <a:solidFill>
            <a:srgbClr val="4F81BD">
              <a:hueOff val="0"/>
              <a:satOff val="0"/>
              <a:lumOff val="0"/>
              <a:alphaOff val="0"/>
            </a:srgbClr>
          </a:solidFill>
          <a:prstDash val="solid"/>
        </a:ln>
        <a:effectLst/>
      </dgm:spPr>
      <dgm:t>
        <a:bodyPr/>
        <a:lstStyle/>
        <a:p>
          <a:pPr algn="ctr"/>
          <a:r>
            <a:rPr lang="en-GB" sz="900" b="1">
              <a:solidFill>
                <a:schemeClr val="bg1"/>
              </a:solidFill>
              <a:latin typeface="Calibri"/>
              <a:ea typeface="+mn-ea"/>
              <a:cs typeface="+mn-cs"/>
            </a:rPr>
            <a:t>Information Governance Policy</a:t>
          </a:r>
        </a:p>
      </dgm:t>
    </dgm:pt>
    <dgm:pt modelId="{024C6D1E-7814-409E-B8B1-3D9FA8F4DCDB}" type="parTrans" cxnId="{F14A7A39-2481-4BC2-854C-7C2ECE0621E6}">
      <dgm:prSet/>
      <dgm:spPr>
        <a:xfrm>
          <a:off x="1944971" y="2636984"/>
          <a:ext cx="322027" cy="1476962"/>
        </a:xfrm>
        <a:noFill/>
        <a:ln w="9525" cap="flat" cmpd="sng" algn="ctr">
          <a:solidFill>
            <a:srgbClr val="4F81BD">
              <a:shade val="60000"/>
              <a:hueOff val="0"/>
              <a:satOff val="0"/>
              <a:lumOff val="0"/>
              <a:alphaOff val="0"/>
            </a:srgbClr>
          </a:solidFill>
          <a:prstDash val="solid"/>
        </a:ln>
        <a:effectLst/>
      </dgm:spPr>
      <dgm:t>
        <a:bodyPr/>
        <a:lstStyle/>
        <a:p>
          <a:pPr algn="ctr"/>
          <a:endParaRPr lang="en-GB" sz="900"/>
        </a:p>
      </dgm:t>
    </dgm:pt>
    <dgm:pt modelId="{930A0CD0-2E06-4A28-A4AF-082CFF5BF35C}" type="sibTrans" cxnId="{F14A7A39-2481-4BC2-854C-7C2ECE0621E6}">
      <dgm:prSet/>
      <dgm:spPr/>
      <dgm:t>
        <a:bodyPr/>
        <a:lstStyle/>
        <a:p>
          <a:pPr algn="ctr"/>
          <a:endParaRPr lang="en-GB" sz="900"/>
        </a:p>
      </dgm:t>
    </dgm:pt>
    <dgm:pt modelId="{320E8F08-989B-4840-A7C6-118791000D8A}">
      <dgm:prSet custT="1"/>
      <dgm:spPr>
        <a:xfrm>
          <a:off x="2266998" y="4454784"/>
          <a:ext cx="1979998" cy="454450"/>
        </a:xfrm>
        <a:solidFill>
          <a:schemeClr val="accent1">
            <a:lumMod val="60000"/>
            <a:lumOff val="40000"/>
            <a:alpha val="90000"/>
          </a:schemeClr>
        </a:solidFill>
        <a:ln w="9525" cap="flat" cmpd="sng" algn="ctr">
          <a:solidFill>
            <a:srgbClr val="4F81BD">
              <a:hueOff val="0"/>
              <a:satOff val="0"/>
              <a:lumOff val="0"/>
              <a:alphaOff val="0"/>
            </a:srgbClr>
          </a:solidFill>
          <a:prstDash val="solid"/>
        </a:ln>
        <a:effectLst/>
      </dgm:spPr>
      <dgm:t>
        <a:bodyPr/>
        <a:lstStyle/>
        <a:p>
          <a:pPr algn="ctr"/>
          <a:r>
            <a:rPr lang="en-GB" sz="900" b="1">
              <a:solidFill>
                <a:schemeClr val="bg1"/>
              </a:solidFill>
              <a:latin typeface="Calibri"/>
              <a:ea typeface="+mn-ea"/>
              <a:cs typeface="+mn-cs"/>
            </a:rPr>
            <a:t>Records Management Policy</a:t>
          </a:r>
        </a:p>
      </dgm:t>
    </dgm:pt>
    <dgm:pt modelId="{54AC5257-487A-4275-ACEE-9AEF06403687}" type="parTrans" cxnId="{D982A915-D21D-459B-884D-199D4EFCB3FC}">
      <dgm:prSet/>
      <dgm:spPr>
        <a:xfrm>
          <a:off x="1944971" y="2636984"/>
          <a:ext cx="322027" cy="2045025"/>
        </a:xfrm>
        <a:noFill/>
        <a:ln w="9525" cap="flat" cmpd="sng" algn="ctr">
          <a:solidFill>
            <a:srgbClr val="4F81BD">
              <a:shade val="60000"/>
              <a:hueOff val="0"/>
              <a:satOff val="0"/>
              <a:lumOff val="0"/>
              <a:alphaOff val="0"/>
            </a:srgbClr>
          </a:solidFill>
          <a:prstDash val="solid"/>
        </a:ln>
        <a:effectLst/>
      </dgm:spPr>
      <dgm:t>
        <a:bodyPr/>
        <a:lstStyle/>
        <a:p>
          <a:pPr algn="ctr"/>
          <a:endParaRPr lang="en-GB" sz="900"/>
        </a:p>
      </dgm:t>
    </dgm:pt>
    <dgm:pt modelId="{DD843AA1-63A8-4C63-85B7-579184C0D36D}" type="sibTrans" cxnId="{D982A915-D21D-459B-884D-199D4EFCB3FC}">
      <dgm:prSet/>
      <dgm:spPr/>
      <dgm:t>
        <a:bodyPr/>
        <a:lstStyle/>
        <a:p>
          <a:pPr algn="ctr"/>
          <a:endParaRPr lang="en-GB" sz="900"/>
        </a:p>
      </dgm:t>
    </dgm:pt>
    <dgm:pt modelId="{D4E642AC-8E15-40EC-B8D9-99CFFC6C07D4}">
      <dgm:prSet custT="1"/>
      <dgm:spPr>
        <a:xfrm>
          <a:off x="7898226" y="733497"/>
          <a:ext cx="908900" cy="1445142"/>
        </a:xfrm>
        <a:solidFill>
          <a:srgbClr val="A1368B">
            <a:alpha val="40000"/>
          </a:srgbClr>
        </a:solidFill>
        <a:ln>
          <a:noFill/>
        </a:ln>
        <a:effectLst>
          <a:outerShdw blurRad="40000" dist="23000" dir="5400000" rotWithShape="0">
            <a:srgbClr val="000000">
              <a:alpha val="35000"/>
            </a:srgbClr>
          </a:outerShdw>
        </a:effectLst>
      </dgm:spPr>
      <dgm:t>
        <a:bodyPr/>
        <a:lstStyle/>
        <a:p>
          <a:pPr algn="ctr"/>
          <a:r>
            <a:rPr lang="en-GB" sz="800" b="1">
              <a:solidFill>
                <a:sysClr val="window" lastClr="FFFFFF"/>
              </a:solidFill>
              <a:latin typeface="Calibri"/>
              <a:ea typeface="+mn-ea"/>
              <a:cs typeface="+mn-cs"/>
            </a:rPr>
            <a:t>Data Protection  Impact Assessment Framework</a:t>
          </a:r>
        </a:p>
      </dgm:t>
    </dgm:pt>
    <dgm:pt modelId="{5975CF3D-B9EE-48AB-A929-7BC6913E9A79}" type="parTrans" cxnId="{E5732F02-42B7-47DC-9E1F-3010DD7A5BD1}">
      <dgm:prSet/>
      <dgm:spPr/>
      <dgm:t>
        <a:bodyPr/>
        <a:lstStyle/>
        <a:p>
          <a:endParaRPr lang="en-GB" sz="900"/>
        </a:p>
      </dgm:t>
    </dgm:pt>
    <dgm:pt modelId="{D381B438-F626-4CB2-8403-4C3DD6D56F5B}" type="sibTrans" cxnId="{E5732F02-42B7-47DC-9E1F-3010DD7A5BD1}">
      <dgm:prSet/>
      <dgm:spPr/>
      <dgm:t>
        <a:bodyPr/>
        <a:lstStyle/>
        <a:p>
          <a:endParaRPr lang="en-GB" sz="900"/>
        </a:p>
      </dgm:t>
    </dgm:pt>
    <dgm:pt modelId="{3B178082-781F-4D6E-B036-794B6BB30AD9}">
      <dgm:prSet custT="1"/>
      <dgm:spPr>
        <a:xfrm>
          <a:off x="6762100" y="733497"/>
          <a:ext cx="908900" cy="1464197"/>
        </a:xfrm>
        <a:solidFill>
          <a:srgbClr val="A1368B">
            <a:alpha val="40000"/>
          </a:srgbClr>
        </a:solidFill>
        <a:ln>
          <a:noFill/>
        </a:ln>
        <a:effectLst>
          <a:outerShdw blurRad="40000" dist="23000" dir="5400000" rotWithShape="0">
            <a:srgbClr val="000000">
              <a:alpha val="35000"/>
            </a:srgbClr>
          </a:outerShdw>
        </a:effectLst>
      </dgm:spPr>
      <dgm:t>
        <a:bodyPr/>
        <a:lstStyle/>
        <a:p>
          <a:pPr algn="ctr"/>
          <a:r>
            <a:rPr lang="en-GB" sz="800" b="1">
              <a:solidFill>
                <a:sysClr val="window" lastClr="FFFFFF"/>
              </a:solidFill>
              <a:latin typeface="Calibri"/>
              <a:ea typeface="+mn-ea"/>
              <a:cs typeface="+mn-cs"/>
            </a:rPr>
            <a:t>Incident Management &amp; Reporting Procedures</a:t>
          </a:r>
        </a:p>
      </dgm:t>
    </dgm:pt>
    <dgm:pt modelId="{131A9808-BABC-466D-9763-EAFD27AA5C62}" type="parTrans" cxnId="{B4EA2960-DC27-43A8-BC90-F26557F80D04}">
      <dgm:prSet/>
      <dgm:spPr/>
      <dgm:t>
        <a:bodyPr/>
        <a:lstStyle/>
        <a:p>
          <a:endParaRPr lang="en-GB" sz="900"/>
        </a:p>
      </dgm:t>
    </dgm:pt>
    <dgm:pt modelId="{5DC401B0-3D25-4AA5-9740-B5856100BE5F}" type="sibTrans" cxnId="{B4EA2960-DC27-43A8-BC90-F26557F80D04}">
      <dgm:prSet/>
      <dgm:spPr/>
      <dgm:t>
        <a:bodyPr/>
        <a:lstStyle/>
        <a:p>
          <a:endParaRPr lang="en-GB" sz="900"/>
        </a:p>
      </dgm:t>
    </dgm:pt>
    <dgm:pt modelId="{B24693BE-7246-43A3-B71B-18008E72DE30}">
      <dgm:prSet custT="1"/>
      <dgm:spPr>
        <a:xfrm>
          <a:off x="2266998" y="4454784"/>
          <a:ext cx="1979998" cy="454450"/>
        </a:xfrm>
        <a:solidFill>
          <a:schemeClr val="accent1">
            <a:lumMod val="60000"/>
            <a:lumOff val="40000"/>
            <a:alpha val="90000"/>
          </a:schemeClr>
        </a:solidFill>
        <a:ln w="9525" cap="flat" cmpd="sng" algn="ctr">
          <a:solidFill>
            <a:srgbClr val="4F81BD">
              <a:hueOff val="0"/>
              <a:satOff val="0"/>
              <a:lumOff val="0"/>
              <a:alphaOff val="0"/>
            </a:srgbClr>
          </a:solidFill>
          <a:prstDash val="solid"/>
        </a:ln>
        <a:effectLst/>
      </dgm:spPr>
      <dgm:t>
        <a:bodyPr/>
        <a:lstStyle/>
        <a:p>
          <a:pPr algn="ctr"/>
          <a:r>
            <a:rPr lang="en-GB" sz="900" b="1">
              <a:solidFill>
                <a:schemeClr val="bg1"/>
              </a:solidFill>
              <a:latin typeface="Calibri"/>
              <a:ea typeface="+mn-ea"/>
              <a:cs typeface="+mn-cs"/>
            </a:rPr>
            <a:t>Data Security and IG Handbook</a:t>
          </a:r>
        </a:p>
      </dgm:t>
    </dgm:pt>
    <dgm:pt modelId="{30FB1DB3-1E94-46A2-A841-5C17902F3161}" type="parTrans" cxnId="{BABAFE23-F2BD-45C6-AE9D-39B209685C4E}">
      <dgm:prSet/>
      <dgm:spPr/>
      <dgm:t>
        <a:bodyPr/>
        <a:lstStyle/>
        <a:p>
          <a:endParaRPr lang="en-GB"/>
        </a:p>
      </dgm:t>
    </dgm:pt>
    <dgm:pt modelId="{86340026-DCE8-4B14-B41F-EDA9C88B5AE6}" type="sibTrans" cxnId="{BABAFE23-F2BD-45C6-AE9D-39B209685C4E}">
      <dgm:prSet/>
      <dgm:spPr/>
      <dgm:t>
        <a:bodyPr/>
        <a:lstStyle/>
        <a:p>
          <a:endParaRPr lang="en-GB"/>
        </a:p>
      </dgm:t>
    </dgm:pt>
    <dgm:pt modelId="{73A65BE6-F35D-4724-974E-A10609E8C118}">
      <dgm:prSet custT="1"/>
      <dgm:spPr>
        <a:xfrm>
          <a:off x="7898226" y="733497"/>
          <a:ext cx="908900" cy="1445142"/>
        </a:xfrm>
        <a:solidFill>
          <a:schemeClr val="accent6">
            <a:alpha val="40000"/>
          </a:schemeClr>
        </a:solidFill>
        <a:ln>
          <a:noFill/>
        </a:ln>
        <a:effectLst>
          <a:outerShdw blurRad="40000" dist="23000" dir="5400000" rotWithShape="0">
            <a:srgbClr val="000000">
              <a:alpha val="35000"/>
            </a:srgbClr>
          </a:outerShdw>
        </a:effectLst>
      </dgm:spPr>
      <dgm:t>
        <a:bodyPr/>
        <a:lstStyle/>
        <a:p>
          <a:pPr algn="ctr"/>
          <a:r>
            <a:rPr lang="en-GB" sz="800" b="1">
              <a:solidFill>
                <a:sysClr val="window" lastClr="FFFFFF"/>
              </a:solidFill>
              <a:latin typeface="Calibri"/>
              <a:ea typeface="+mn-ea"/>
              <a:cs typeface="+mn-cs"/>
            </a:rPr>
            <a:t>IT Policies</a:t>
          </a:r>
        </a:p>
      </dgm:t>
    </dgm:pt>
    <dgm:pt modelId="{76E4A4D4-57DA-4A6A-905A-80C9F44A1DCB}" type="parTrans" cxnId="{B5495082-EE9F-48EE-A4BA-267F9EA2A6DF}">
      <dgm:prSet/>
      <dgm:spPr/>
      <dgm:t>
        <a:bodyPr/>
        <a:lstStyle/>
        <a:p>
          <a:endParaRPr lang="en-GB"/>
        </a:p>
      </dgm:t>
    </dgm:pt>
    <dgm:pt modelId="{357B0CAF-96A9-4B67-BE19-D184D53A0050}" type="sibTrans" cxnId="{B5495082-EE9F-48EE-A4BA-267F9EA2A6DF}">
      <dgm:prSet/>
      <dgm:spPr/>
      <dgm:t>
        <a:bodyPr/>
        <a:lstStyle/>
        <a:p>
          <a:endParaRPr lang="en-GB"/>
        </a:p>
      </dgm:t>
    </dgm:pt>
    <dgm:pt modelId="{FDA3BAB9-9CB5-412F-941E-05E238ED0C73}">
      <dgm:prSet custT="1"/>
      <dgm:spPr>
        <a:xfrm>
          <a:off x="7898226" y="733497"/>
          <a:ext cx="908900" cy="1445142"/>
        </a:xfrm>
        <a:solidFill>
          <a:schemeClr val="accent6">
            <a:alpha val="40000"/>
          </a:schemeClr>
        </a:solidFill>
        <a:ln>
          <a:noFill/>
        </a:ln>
        <a:effectLst>
          <a:outerShdw blurRad="40000" dist="23000" dir="5400000" rotWithShape="0">
            <a:srgbClr val="000000">
              <a:alpha val="35000"/>
            </a:srgbClr>
          </a:outerShdw>
        </a:effectLst>
      </dgm:spPr>
      <dgm:t>
        <a:bodyPr/>
        <a:lstStyle/>
        <a:p>
          <a:pPr algn="ctr"/>
          <a:r>
            <a:rPr lang="en-GB" sz="800" b="1">
              <a:solidFill>
                <a:sysClr val="window" lastClr="FFFFFF"/>
              </a:solidFill>
              <a:latin typeface="Calibri"/>
              <a:ea typeface="+mn-ea"/>
              <a:cs typeface="+mn-cs"/>
            </a:rPr>
            <a:t>SCW provided polices including (but not limited to):  Information Security Policy;  Back Up Policy;  Access Control Policy</a:t>
          </a:r>
        </a:p>
        <a:p>
          <a:pPr algn="ctr"/>
          <a:endParaRPr lang="en-GB" sz="800" b="1">
            <a:solidFill>
              <a:sysClr val="window" lastClr="FFFFFF"/>
            </a:solidFill>
            <a:latin typeface="Calibri"/>
            <a:ea typeface="+mn-ea"/>
            <a:cs typeface="+mn-cs"/>
          </a:endParaRPr>
        </a:p>
      </dgm:t>
    </dgm:pt>
    <dgm:pt modelId="{AC42BD1B-4F27-4B55-B11B-113573D8509D}" type="parTrans" cxnId="{BB3916E7-1411-45EF-8829-8BF55CA44B8E}">
      <dgm:prSet/>
      <dgm:spPr/>
      <dgm:t>
        <a:bodyPr/>
        <a:lstStyle/>
        <a:p>
          <a:endParaRPr lang="en-GB"/>
        </a:p>
      </dgm:t>
    </dgm:pt>
    <dgm:pt modelId="{E0D2CB87-B8DC-4C9D-A56A-CD70709FF033}" type="sibTrans" cxnId="{BB3916E7-1411-45EF-8829-8BF55CA44B8E}">
      <dgm:prSet/>
      <dgm:spPr/>
      <dgm:t>
        <a:bodyPr/>
        <a:lstStyle/>
        <a:p>
          <a:endParaRPr lang="en-GB"/>
        </a:p>
      </dgm:t>
    </dgm:pt>
    <dgm:pt modelId="{125C1036-745D-4DDA-9F8F-F7E4FA092EEE}">
      <dgm:prSet custT="1"/>
      <dgm:spPr>
        <a:xfrm>
          <a:off x="7898226" y="733497"/>
          <a:ext cx="908900" cy="1445142"/>
        </a:xfrm>
        <a:solidFill>
          <a:schemeClr val="accent6">
            <a:alpha val="40000"/>
          </a:schemeClr>
        </a:solidFill>
        <a:ln>
          <a:noFill/>
        </a:ln>
        <a:effectLst>
          <a:outerShdw blurRad="40000" dist="23000" dir="5400000" rotWithShape="0">
            <a:srgbClr val="000000">
              <a:alpha val="35000"/>
            </a:srgbClr>
          </a:outerShdw>
        </a:effectLst>
      </dgm:spPr>
      <dgm:t>
        <a:bodyPr/>
        <a:lstStyle/>
        <a:p>
          <a:pPr algn="ctr"/>
          <a:r>
            <a:rPr lang="en-GB" sz="800" b="1">
              <a:solidFill>
                <a:sysClr val="window" lastClr="FFFFFF"/>
              </a:solidFill>
              <a:latin typeface="Calibri"/>
              <a:ea typeface="+mn-ea"/>
              <a:cs typeface="+mn-cs"/>
            </a:rPr>
            <a:t>ICB policies: Password Policy; IT Clear Screen and Desk Policy; IT Acceptable Use Policy</a:t>
          </a:r>
        </a:p>
      </dgm:t>
    </dgm:pt>
    <dgm:pt modelId="{94C00E91-4A8E-4D30-8ABA-082D80B10D3D}" type="parTrans" cxnId="{DD73D35F-8243-4D09-9F7B-F88D56150517}">
      <dgm:prSet/>
      <dgm:spPr/>
      <dgm:t>
        <a:bodyPr/>
        <a:lstStyle/>
        <a:p>
          <a:endParaRPr lang="en-GB"/>
        </a:p>
      </dgm:t>
    </dgm:pt>
    <dgm:pt modelId="{E4DA42BA-B874-46B6-912B-884F5D6D82E1}" type="sibTrans" cxnId="{DD73D35F-8243-4D09-9F7B-F88D56150517}">
      <dgm:prSet/>
      <dgm:spPr/>
      <dgm:t>
        <a:bodyPr/>
        <a:lstStyle/>
        <a:p>
          <a:endParaRPr lang="en-GB"/>
        </a:p>
      </dgm:t>
    </dgm:pt>
    <dgm:pt modelId="{30E4DB5D-4E8A-4DE5-9CD7-16C10B8ACE75}" type="pres">
      <dgm:prSet presAssocID="{E06B967B-2B7B-4DE0-B4FC-E54B53D3FDDF}" presName="diagram" presStyleCnt="0">
        <dgm:presLayoutVars>
          <dgm:chPref val="1"/>
          <dgm:dir/>
          <dgm:animOne val="branch"/>
          <dgm:animLvl val="lvl"/>
          <dgm:resizeHandles/>
        </dgm:presLayoutVars>
      </dgm:prSet>
      <dgm:spPr/>
    </dgm:pt>
    <dgm:pt modelId="{A20497B4-C1EF-4A48-942F-DE6B80D10779}" type="pres">
      <dgm:prSet presAssocID="{CA4D76A5-D19C-49AB-9E1C-F39864890ECC}" presName="root" presStyleCnt="0"/>
      <dgm:spPr/>
    </dgm:pt>
    <dgm:pt modelId="{4B9BE7E9-4683-49ED-A4C8-2B11D8F4CB1B}" type="pres">
      <dgm:prSet presAssocID="{CA4D76A5-D19C-49AB-9E1C-F39864890ECC}" presName="rootComposite" presStyleCnt="0"/>
      <dgm:spPr/>
    </dgm:pt>
    <dgm:pt modelId="{081C1E77-7E2F-4ECA-B531-4C149FEA6DEA}" type="pres">
      <dgm:prSet presAssocID="{CA4D76A5-D19C-49AB-9E1C-F39864890ECC}" presName="rootText" presStyleLbl="node1" presStyleIdx="0" presStyleCnt="4" custScaleX="118547" custScaleY="425737"/>
      <dgm:spPr>
        <a:prstGeom prst="roundRect">
          <a:avLst>
            <a:gd name="adj" fmla="val 10000"/>
          </a:avLst>
        </a:prstGeom>
      </dgm:spPr>
    </dgm:pt>
    <dgm:pt modelId="{A8FBB629-A78E-4FEC-805B-D2E6FA52751C}" type="pres">
      <dgm:prSet presAssocID="{CA4D76A5-D19C-49AB-9E1C-F39864890ECC}" presName="rootConnector" presStyleLbl="node1" presStyleIdx="0" presStyleCnt="4"/>
      <dgm:spPr/>
    </dgm:pt>
    <dgm:pt modelId="{EBCB1217-29E7-445F-AC69-A0126E3DA1AC}" type="pres">
      <dgm:prSet presAssocID="{CA4D76A5-D19C-49AB-9E1C-F39864890ECC}" presName="childShape" presStyleCnt="0"/>
      <dgm:spPr/>
    </dgm:pt>
    <dgm:pt modelId="{913DD055-9E2F-4E9C-91E8-D7B6A73B8D57}" type="pres">
      <dgm:prSet presAssocID="{F86966C4-94BF-4AFC-B28A-438BC34380CF}" presName="root" presStyleCnt="0"/>
      <dgm:spPr/>
    </dgm:pt>
    <dgm:pt modelId="{1245900D-E947-41AF-87B9-C0424E1B587C}" type="pres">
      <dgm:prSet presAssocID="{F86966C4-94BF-4AFC-B28A-438BC34380CF}" presName="rootComposite" presStyleCnt="0"/>
      <dgm:spPr/>
    </dgm:pt>
    <dgm:pt modelId="{3E2F0EE2-9CD2-42ED-BE72-172FDE13CA48}" type="pres">
      <dgm:prSet presAssocID="{F86966C4-94BF-4AFC-B28A-438BC34380CF}" presName="rootText" presStyleLbl="node1" presStyleIdx="1" presStyleCnt="4" custScaleX="239819" custScaleY="161013"/>
      <dgm:spPr>
        <a:prstGeom prst="roundRect">
          <a:avLst>
            <a:gd name="adj" fmla="val 10000"/>
          </a:avLst>
        </a:prstGeom>
      </dgm:spPr>
    </dgm:pt>
    <dgm:pt modelId="{4A5465C1-CB24-4132-A5DD-95688A45382A}" type="pres">
      <dgm:prSet presAssocID="{F86966C4-94BF-4AFC-B28A-438BC34380CF}" presName="rootConnector" presStyleLbl="node1" presStyleIdx="1" presStyleCnt="4"/>
      <dgm:spPr/>
    </dgm:pt>
    <dgm:pt modelId="{8262B614-1391-4D03-A1D4-572E21311930}" type="pres">
      <dgm:prSet presAssocID="{F86966C4-94BF-4AFC-B28A-438BC34380CF}" presName="childShape" presStyleCnt="0"/>
      <dgm:spPr/>
    </dgm:pt>
    <dgm:pt modelId="{BC57F5B8-B78C-4F1A-B322-7EC1B8E47301}" type="pres">
      <dgm:prSet presAssocID="{793CF1FF-18B7-4068-8D45-CAFCA4780FC7}" presName="Name13" presStyleLbl="parChTrans1D2" presStyleIdx="0" presStyleCnt="9"/>
      <dgm:spPr>
        <a:custGeom>
          <a:avLst/>
          <a:gdLst/>
          <a:ahLst/>
          <a:cxnLst/>
          <a:rect l="0" t="0" r="0" b="0"/>
          <a:pathLst>
            <a:path>
              <a:moveTo>
                <a:pt x="0" y="0"/>
              </a:moveTo>
              <a:lnTo>
                <a:pt x="0" y="340837"/>
              </a:lnTo>
              <a:lnTo>
                <a:pt x="322027" y="340837"/>
              </a:lnTo>
            </a:path>
          </a:pathLst>
        </a:custGeom>
      </dgm:spPr>
    </dgm:pt>
    <dgm:pt modelId="{4BF7702C-BABD-439A-B3C7-77630446E88A}" type="pres">
      <dgm:prSet presAssocID="{E63414E0-B630-470D-9C50-C99673D89E8E}" presName="childText" presStyleLbl="bgAcc1" presStyleIdx="0" presStyleCnt="9" custScaleX="272307" custLinFactNeighborX="4601" custLinFactNeighborY="-1777">
        <dgm:presLayoutVars>
          <dgm:bulletEnabled val="1"/>
        </dgm:presLayoutVars>
      </dgm:prSet>
      <dgm:spPr>
        <a:prstGeom prst="roundRect">
          <a:avLst>
            <a:gd name="adj" fmla="val 10000"/>
          </a:avLst>
        </a:prstGeom>
      </dgm:spPr>
    </dgm:pt>
    <dgm:pt modelId="{CEF62ED0-E2D7-4879-9B89-CE19A606DFBA}" type="pres">
      <dgm:prSet presAssocID="{FC719324-DC74-4BBF-8856-D9472E7F92A8}" presName="Name13" presStyleLbl="parChTrans1D2" presStyleIdx="1" presStyleCnt="9"/>
      <dgm:spPr>
        <a:custGeom>
          <a:avLst/>
          <a:gdLst/>
          <a:ahLst/>
          <a:cxnLst/>
          <a:rect l="0" t="0" r="0" b="0"/>
          <a:pathLst>
            <a:path>
              <a:moveTo>
                <a:pt x="0" y="0"/>
              </a:moveTo>
              <a:lnTo>
                <a:pt x="0" y="908900"/>
              </a:lnTo>
              <a:lnTo>
                <a:pt x="322027" y="908900"/>
              </a:lnTo>
            </a:path>
          </a:pathLst>
        </a:custGeom>
      </dgm:spPr>
    </dgm:pt>
    <dgm:pt modelId="{4ED0347A-D834-4F98-92A7-5B7483E2D269}" type="pres">
      <dgm:prSet presAssocID="{661B9B9B-4087-485A-AE83-59692FAE51AC}" presName="childText" presStyleLbl="bgAcc1" presStyleIdx="1" presStyleCnt="9" custScaleX="274734" custLinFactNeighborX="4664" custLinFactNeighborY="7078">
        <dgm:presLayoutVars>
          <dgm:bulletEnabled val="1"/>
        </dgm:presLayoutVars>
      </dgm:prSet>
      <dgm:spPr>
        <a:prstGeom prst="roundRect">
          <a:avLst>
            <a:gd name="adj" fmla="val 10000"/>
          </a:avLst>
        </a:prstGeom>
      </dgm:spPr>
    </dgm:pt>
    <dgm:pt modelId="{81523859-536A-4F85-A81C-5583B443805B}" type="pres">
      <dgm:prSet presAssocID="{024C6D1E-7814-409E-B8B1-3D9FA8F4DCDB}" presName="Name13" presStyleLbl="parChTrans1D2" presStyleIdx="2" presStyleCnt="9"/>
      <dgm:spPr>
        <a:custGeom>
          <a:avLst/>
          <a:gdLst/>
          <a:ahLst/>
          <a:cxnLst/>
          <a:rect l="0" t="0" r="0" b="0"/>
          <a:pathLst>
            <a:path>
              <a:moveTo>
                <a:pt x="0" y="0"/>
              </a:moveTo>
              <a:lnTo>
                <a:pt x="0" y="1476962"/>
              </a:lnTo>
              <a:lnTo>
                <a:pt x="322027" y="1476962"/>
              </a:lnTo>
            </a:path>
          </a:pathLst>
        </a:custGeom>
      </dgm:spPr>
    </dgm:pt>
    <dgm:pt modelId="{183C7E6F-0C1D-42A0-811A-8FB5B2E86B3E}" type="pres">
      <dgm:prSet presAssocID="{42F22835-285A-4DA5-87D4-CCE36E638AC1}" presName="childText" presStyleLbl="bgAcc1" presStyleIdx="2" presStyleCnt="9" custScaleX="272307" custLinFactNeighborX="3422" custLinFactNeighborY="19718">
        <dgm:presLayoutVars>
          <dgm:bulletEnabled val="1"/>
        </dgm:presLayoutVars>
      </dgm:prSet>
      <dgm:spPr>
        <a:prstGeom prst="roundRect">
          <a:avLst>
            <a:gd name="adj" fmla="val 10000"/>
          </a:avLst>
        </a:prstGeom>
      </dgm:spPr>
    </dgm:pt>
    <dgm:pt modelId="{D95375C2-0C0D-492C-ACCA-094174D7AFF1}" type="pres">
      <dgm:prSet presAssocID="{54AC5257-487A-4275-ACEE-9AEF06403687}" presName="Name13" presStyleLbl="parChTrans1D2" presStyleIdx="3" presStyleCnt="9"/>
      <dgm:spPr>
        <a:custGeom>
          <a:avLst/>
          <a:gdLst/>
          <a:ahLst/>
          <a:cxnLst/>
          <a:rect l="0" t="0" r="0" b="0"/>
          <a:pathLst>
            <a:path>
              <a:moveTo>
                <a:pt x="0" y="0"/>
              </a:moveTo>
              <a:lnTo>
                <a:pt x="0" y="2045025"/>
              </a:lnTo>
              <a:lnTo>
                <a:pt x="322027" y="2045025"/>
              </a:lnTo>
            </a:path>
          </a:pathLst>
        </a:custGeom>
      </dgm:spPr>
    </dgm:pt>
    <dgm:pt modelId="{7C7C5AE4-982C-49D2-81D0-01B83045E9EE}" type="pres">
      <dgm:prSet presAssocID="{320E8F08-989B-4840-A7C6-118791000D8A}" presName="childText" presStyleLbl="bgAcc1" presStyleIdx="3" presStyleCnt="9" custScaleX="272307" custLinFactNeighborX="4478" custLinFactNeighborY="22301">
        <dgm:presLayoutVars>
          <dgm:bulletEnabled val="1"/>
        </dgm:presLayoutVars>
      </dgm:prSet>
      <dgm:spPr>
        <a:prstGeom prst="roundRect">
          <a:avLst>
            <a:gd name="adj" fmla="val 10000"/>
          </a:avLst>
        </a:prstGeom>
      </dgm:spPr>
    </dgm:pt>
    <dgm:pt modelId="{78767424-43D4-4A58-840C-CFD37654252F}" type="pres">
      <dgm:prSet presAssocID="{30FB1DB3-1E94-46A2-A841-5C17902F3161}" presName="Name13" presStyleLbl="parChTrans1D2" presStyleIdx="4" presStyleCnt="9"/>
      <dgm:spPr/>
    </dgm:pt>
    <dgm:pt modelId="{4282C2F9-EECD-4BFF-BE67-23270836CC8B}" type="pres">
      <dgm:prSet presAssocID="{B24693BE-7246-43A3-B71B-18008E72DE30}" presName="childText" presStyleLbl="bgAcc1" presStyleIdx="4" presStyleCnt="9" custScaleX="267843" custLinFactNeighborX="12391" custLinFactNeighborY="28638">
        <dgm:presLayoutVars>
          <dgm:bulletEnabled val="1"/>
        </dgm:presLayoutVars>
      </dgm:prSet>
      <dgm:spPr/>
    </dgm:pt>
    <dgm:pt modelId="{3B34D155-CCE7-4DE8-9E12-414F15587ED6}" type="pres">
      <dgm:prSet presAssocID="{5D58C39C-1D26-4D14-8312-44321ED7D5E3}" presName="root" presStyleCnt="0"/>
      <dgm:spPr/>
    </dgm:pt>
    <dgm:pt modelId="{DF04A9CE-3B65-41D0-B1BA-A8F42A5FA9F6}" type="pres">
      <dgm:prSet presAssocID="{5D58C39C-1D26-4D14-8312-44321ED7D5E3}" presName="rootComposite" presStyleCnt="0"/>
      <dgm:spPr/>
    </dgm:pt>
    <dgm:pt modelId="{4D90D950-2516-44E3-8D84-F8F4418D9E96}" type="pres">
      <dgm:prSet presAssocID="{5D58C39C-1D26-4D14-8312-44321ED7D5E3}" presName="rootText" presStyleLbl="node1" presStyleIdx="2" presStyleCnt="4" custScaleX="126484" custScaleY="172553" custLinFactNeighborX="3697" custLinFactNeighborY="-545"/>
      <dgm:spPr>
        <a:prstGeom prst="roundRect">
          <a:avLst>
            <a:gd name="adj" fmla="val 10000"/>
          </a:avLst>
        </a:prstGeom>
      </dgm:spPr>
    </dgm:pt>
    <dgm:pt modelId="{CEAC2C5B-D2B8-4E15-B458-A9DE683489AB}" type="pres">
      <dgm:prSet presAssocID="{5D58C39C-1D26-4D14-8312-44321ED7D5E3}" presName="rootConnector" presStyleLbl="node1" presStyleIdx="2" presStyleCnt="4"/>
      <dgm:spPr/>
    </dgm:pt>
    <dgm:pt modelId="{D9DC27E2-3CCB-409C-949D-76851DB01E80}" type="pres">
      <dgm:prSet presAssocID="{5D58C39C-1D26-4D14-8312-44321ED7D5E3}" presName="childShape" presStyleCnt="0"/>
      <dgm:spPr/>
    </dgm:pt>
    <dgm:pt modelId="{837DE357-A251-4761-B0A9-F5511AB97016}" type="pres">
      <dgm:prSet presAssocID="{131A9808-BABC-466D-9763-EAFD27AA5C62}" presName="Name13" presStyleLbl="parChTrans1D2" presStyleIdx="5" presStyleCnt="9"/>
      <dgm:spPr/>
    </dgm:pt>
    <dgm:pt modelId="{B138AE41-D645-4B1E-B43A-165B3B864C14}" type="pres">
      <dgm:prSet presAssocID="{3B178082-781F-4D6E-B036-794B6BB30AD9}" presName="childText" presStyleLbl="bgAcc1" presStyleIdx="5" presStyleCnt="9" custScaleX="126519" custScaleY="141779">
        <dgm:presLayoutVars>
          <dgm:bulletEnabled val="1"/>
        </dgm:presLayoutVars>
      </dgm:prSet>
      <dgm:spPr/>
    </dgm:pt>
    <dgm:pt modelId="{5092E9FA-13A4-4397-A0FD-81577AE1C872}" type="pres">
      <dgm:prSet presAssocID="{5975CF3D-B9EE-48AB-A929-7BC6913E9A79}" presName="Name13" presStyleLbl="parChTrans1D2" presStyleIdx="6" presStyleCnt="9"/>
      <dgm:spPr/>
    </dgm:pt>
    <dgm:pt modelId="{361B7511-BA78-4188-98B0-E35BA3684F16}" type="pres">
      <dgm:prSet presAssocID="{D4E642AC-8E15-40EC-B8D9-99CFFC6C07D4}" presName="childText" presStyleLbl="bgAcc1" presStyleIdx="6" presStyleCnt="9" custScaleX="132895" custScaleY="93337">
        <dgm:presLayoutVars>
          <dgm:bulletEnabled val="1"/>
        </dgm:presLayoutVars>
      </dgm:prSet>
      <dgm:spPr/>
    </dgm:pt>
    <dgm:pt modelId="{C4E13D7E-B8D2-4AE3-B033-A4C8C7F8F432}" type="pres">
      <dgm:prSet presAssocID="{73A65BE6-F35D-4724-974E-A10609E8C118}" presName="root" presStyleCnt="0"/>
      <dgm:spPr/>
    </dgm:pt>
    <dgm:pt modelId="{358BC90B-F869-4C07-A12A-5A639708D99C}" type="pres">
      <dgm:prSet presAssocID="{73A65BE6-F35D-4724-974E-A10609E8C118}" presName="rootComposite" presStyleCnt="0"/>
      <dgm:spPr/>
    </dgm:pt>
    <dgm:pt modelId="{8451D842-2468-465B-BC7E-4EF1830F19FB}" type="pres">
      <dgm:prSet presAssocID="{73A65BE6-F35D-4724-974E-A10609E8C118}" presName="rootText" presStyleLbl="node1" presStyleIdx="3" presStyleCnt="4"/>
      <dgm:spPr/>
    </dgm:pt>
    <dgm:pt modelId="{9A902C23-4184-4DD5-B6DB-7473566C03B2}" type="pres">
      <dgm:prSet presAssocID="{73A65BE6-F35D-4724-974E-A10609E8C118}" presName="rootConnector" presStyleLbl="node1" presStyleIdx="3" presStyleCnt="4"/>
      <dgm:spPr/>
    </dgm:pt>
    <dgm:pt modelId="{F01DD97B-4303-4BB4-B82B-79E42EC3FA66}" type="pres">
      <dgm:prSet presAssocID="{73A65BE6-F35D-4724-974E-A10609E8C118}" presName="childShape" presStyleCnt="0"/>
      <dgm:spPr/>
    </dgm:pt>
    <dgm:pt modelId="{2ACFB59C-C4D5-4F52-8489-C4F5B12AAFFF}" type="pres">
      <dgm:prSet presAssocID="{AC42BD1B-4F27-4B55-B11B-113573D8509D}" presName="Name13" presStyleLbl="parChTrans1D2" presStyleIdx="7" presStyleCnt="9"/>
      <dgm:spPr/>
    </dgm:pt>
    <dgm:pt modelId="{7E3797BC-10D0-4F02-956E-64C9B33A64D4}" type="pres">
      <dgm:prSet presAssocID="{FDA3BAB9-9CB5-412F-941E-05E238ED0C73}" presName="childText" presStyleLbl="bgAcc1" presStyleIdx="7" presStyleCnt="9" custScaleY="303005">
        <dgm:presLayoutVars>
          <dgm:bulletEnabled val="1"/>
        </dgm:presLayoutVars>
      </dgm:prSet>
      <dgm:spPr/>
    </dgm:pt>
    <dgm:pt modelId="{68E29D05-3EA3-4DAC-999C-CA7085781DC6}" type="pres">
      <dgm:prSet presAssocID="{94C00E91-4A8E-4D30-8ABA-082D80B10D3D}" presName="Name13" presStyleLbl="parChTrans1D2" presStyleIdx="8" presStyleCnt="9"/>
      <dgm:spPr/>
    </dgm:pt>
    <dgm:pt modelId="{067447C5-E22A-47E0-994D-BEE630E89DDB}" type="pres">
      <dgm:prSet presAssocID="{125C1036-745D-4DDA-9F8F-F7E4FA092EEE}" presName="childText" presStyleLbl="bgAcc1" presStyleIdx="8" presStyleCnt="9" custScaleY="333212">
        <dgm:presLayoutVars>
          <dgm:bulletEnabled val="1"/>
        </dgm:presLayoutVars>
      </dgm:prSet>
      <dgm:spPr/>
    </dgm:pt>
  </dgm:ptLst>
  <dgm:cxnLst>
    <dgm:cxn modelId="{2303AB01-6FD0-40FB-9AC4-83511BE7DFAA}" type="presOf" srcId="{E63414E0-B630-470D-9C50-C99673D89E8E}" destId="{4BF7702C-BABD-439A-B3C7-77630446E88A}" srcOrd="0" destOrd="0" presId="urn:microsoft.com/office/officeart/2005/8/layout/hierarchy3"/>
    <dgm:cxn modelId="{E5732F02-42B7-47DC-9E1F-3010DD7A5BD1}" srcId="{5D58C39C-1D26-4D14-8312-44321ED7D5E3}" destId="{D4E642AC-8E15-40EC-B8D9-99CFFC6C07D4}" srcOrd="1" destOrd="0" parTransId="{5975CF3D-B9EE-48AB-A929-7BC6913E9A79}" sibTransId="{D381B438-F626-4CB2-8403-4C3DD6D56F5B}"/>
    <dgm:cxn modelId="{605A4E03-B685-40B7-9B58-1E5CBFD5F93D}" type="presOf" srcId="{73A65BE6-F35D-4724-974E-A10609E8C118}" destId="{8451D842-2468-465B-BC7E-4EF1830F19FB}" srcOrd="0" destOrd="0" presId="urn:microsoft.com/office/officeart/2005/8/layout/hierarchy3"/>
    <dgm:cxn modelId="{C1FED803-AB49-44C5-9B62-CD27E17D1C02}" type="presOf" srcId="{E06B967B-2B7B-4DE0-B4FC-E54B53D3FDDF}" destId="{30E4DB5D-4E8A-4DE5-9CD7-16C10B8ACE75}" srcOrd="0" destOrd="0" presId="urn:microsoft.com/office/officeart/2005/8/layout/hierarchy3"/>
    <dgm:cxn modelId="{B9D45C12-35CF-4531-8EF5-96BD59496235}" srcId="{F86966C4-94BF-4AFC-B28A-438BC34380CF}" destId="{E63414E0-B630-470D-9C50-C99673D89E8E}" srcOrd="0" destOrd="0" parTransId="{793CF1FF-18B7-4068-8D45-CAFCA4780FC7}" sibTransId="{57C0C9B9-293F-4D80-8709-A0800A989ED3}"/>
    <dgm:cxn modelId="{D982A915-D21D-459B-884D-199D4EFCB3FC}" srcId="{F86966C4-94BF-4AFC-B28A-438BC34380CF}" destId="{320E8F08-989B-4840-A7C6-118791000D8A}" srcOrd="3" destOrd="0" parTransId="{54AC5257-487A-4275-ACEE-9AEF06403687}" sibTransId="{DD843AA1-63A8-4C63-85B7-579184C0D36D}"/>
    <dgm:cxn modelId="{647ECF1D-5184-4CC9-BA05-B555D65CCD35}" type="presOf" srcId="{94C00E91-4A8E-4D30-8ABA-082D80B10D3D}" destId="{68E29D05-3EA3-4DAC-999C-CA7085781DC6}" srcOrd="0" destOrd="0" presId="urn:microsoft.com/office/officeart/2005/8/layout/hierarchy3"/>
    <dgm:cxn modelId="{BF3D491E-04EF-4434-AA6B-DEA0E63907C9}" type="presOf" srcId="{125C1036-745D-4DDA-9F8F-F7E4FA092EEE}" destId="{067447C5-E22A-47E0-994D-BEE630E89DDB}" srcOrd="0" destOrd="0" presId="urn:microsoft.com/office/officeart/2005/8/layout/hierarchy3"/>
    <dgm:cxn modelId="{BABAFE23-F2BD-45C6-AE9D-39B209685C4E}" srcId="{F86966C4-94BF-4AFC-B28A-438BC34380CF}" destId="{B24693BE-7246-43A3-B71B-18008E72DE30}" srcOrd="4" destOrd="0" parTransId="{30FB1DB3-1E94-46A2-A841-5C17902F3161}" sibTransId="{86340026-DCE8-4B14-B41F-EDA9C88B5AE6}"/>
    <dgm:cxn modelId="{2383D130-4112-4910-A472-E20F85015C05}" srcId="{F86966C4-94BF-4AFC-B28A-438BC34380CF}" destId="{661B9B9B-4087-485A-AE83-59692FAE51AC}" srcOrd="1" destOrd="0" parTransId="{FC719324-DC74-4BBF-8856-D9472E7F92A8}" sibTransId="{064C8464-7F04-42D6-BCBD-6F094822660E}"/>
    <dgm:cxn modelId="{6615B531-0886-40A6-AF16-2DCAE73CF5E6}" type="presOf" srcId="{320E8F08-989B-4840-A7C6-118791000D8A}" destId="{7C7C5AE4-982C-49D2-81D0-01B83045E9EE}" srcOrd="0" destOrd="0" presId="urn:microsoft.com/office/officeart/2005/8/layout/hierarchy3"/>
    <dgm:cxn modelId="{F14A7A39-2481-4BC2-854C-7C2ECE0621E6}" srcId="{F86966C4-94BF-4AFC-B28A-438BC34380CF}" destId="{42F22835-285A-4DA5-87D4-CCE36E638AC1}" srcOrd="2" destOrd="0" parTransId="{024C6D1E-7814-409E-B8B1-3D9FA8F4DCDB}" sibTransId="{930A0CD0-2E06-4A28-A4AF-082CFF5BF35C}"/>
    <dgm:cxn modelId="{93BFFF3D-06C8-4D68-91E0-EAF40FF8093E}" type="presOf" srcId="{AC42BD1B-4F27-4B55-B11B-113573D8509D}" destId="{2ACFB59C-C4D5-4F52-8489-C4F5B12AAFFF}" srcOrd="0" destOrd="0" presId="urn:microsoft.com/office/officeart/2005/8/layout/hierarchy3"/>
    <dgm:cxn modelId="{A649825F-DF13-4CE5-9E4E-750CC0D7A136}" type="presOf" srcId="{5975CF3D-B9EE-48AB-A929-7BC6913E9A79}" destId="{5092E9FA-13A4-4397-A0FD-81577AE1C872}" srcOrd="0" destOrd="0" presId="urn:microsoft.com/office/officeart/2005/8/layout/hierarchy3"/>
    <dgm:cxn modelId="{DD73D35F-8243-4D09-9F7B-F88D56150517}" srcId="{73A65BE6-F35D-4724-974E-A10609E8C118}" destId="{125C1036-745D-4DDA-9F8F-F7E4FA092EEE}" srcOrd="1" destOrd="0" parTransId="{94C00E91-4A8E-4D30-8ABA-082D80B10D3D}" sibTransId="{E4DA42BA-B874-46B6-912B-884F5D6D82E1}"/>
    <dgm:cxn modelId="{B4EA2960-DC27-43A8-BC90-F26557F80D04}" srcId="{5D58C39C-1D26-4D14-8312-44321ED7D5E3}" destId="{3B178082-781F-4D6E-B036-794B6BB30AD9}" srcOrd="0" destOrd="0" parTransId="{131A9808-BABC-466D-9763-EAFD27AA5C62}" sibTransId="{5DC401B0-3D25-4AA5-9740-B5856100BE5F}"/>
    <dgm:cxn modelId="{1AEC6860-E86F-4AC1-89A0-1BD77A3A68F6}" srcId="{E06B967B-2B7B-4DE0-B4FC-E54B53D3FDDF}" destId="{CA4D76A5-D19C-49AB-9E1C-F39864890ECC}" srcOrd="0" destOrd="0" parTransId="{E561A826-0AF8-44F2-BC18-F97FD029260E}" sibTransId="{6EB668BA-E80D-452C-B929-5F3C13E69EFB}"/>
    <dgm:cxn modelId="{ECA01067-37B2-4B2F-B27B-DEDA006F3358}" type="presOf" srcId="{54AC5257-487A-4275-ACEE-9AEF06403687}" destId="{D95375C2-0C0D-492C-ACCA-094174D7AFF1}" srcOrd="0" destOrd="0" presId="urn:microsoft.com/office/officeart/2005/8/layout/hierarchy3"/>
    <dgm:cxn modelId="{A5FC1553-F0F8-4B3A-B88F-97A604540D28}" type="presOf" srcId="{D4E642AC-8E15-40EC-B8D9-99CFFC6C07D4}" destId="{361B7511-BA78-4188-98B0-E35BA3684F16}" srcOrd="0" destOrd="0" presId="urn:microsoft.com/office/officeart/2005/8/layout/hierarchy3"/>
    <dgm:cxn modelId="{79396F7D-E39D-43D1-8976-0A2506388670}" type="presOf" srcId="{3B178082-781F-4D6E-B036-794B6BB30AD9}" destId="{B138AE41-D645-4B1E-B43A-165B3B864C14}" srcOrd="0" destOrd="0" presId="urn:microsoft.com/office/officeart/2005/8/layout/hierarchy3"/>
    <dgm:cxn modelId="{B5495082-EE9F-48EE-A4BA-267F9EA2A6DF}" srcId="{E06B967B-2B7B-4DE0-B4FC-E54B53D3FDDF}" destId="{73A65BE6-F35D-4724-974E-A10609E8C118}" srcOrd="3" destOrd="0" parTransId="{76E4A4D4-57DA-4A6A-905A-80C9F44A1DCB}" sibTransId="{357B0CAF-96A9-4B67-BE19-D184D53A0050}"/>
    <dgm:cxn modelId="{ED3A9F8E-7758-4538-B580-F1873A6AF54B}" type="presOf" srcId="{5D58C39C-1D26-4D14-8312-44321ED7D5E3}" destId="{CEAC2C5B-D2B8-4E15-B458-A9DE683489AB}" srcOrd="1" destOrd="0" presId="urn:microsoft.com/office/officeart/2005/8/layout/hierarchy3"/>
    <dgm:cxn modelId="{1D9C3190-1EE9-4AD9-A65A-54CA48C0755B}" type="presOf" srcId="{FDA3BAB9-9CB5-412F-941E-05E238ED0C73}" destId="{7E3797BC-10D0-4F02-956E-64C9B33A64D4}" srcOrd="0" destOrd="0" presId="urn:microsoft.com/office/officeart/2005/8/layout/hierarchy3"/>
    <dgm:cxn modelId="{5B381596-4F6F-429F-AEFE-5A052DD08987}" type="presOf" srcId="{CA4D76A5-D19C-49AB-9E1C-F39864890ECC}" destId="{A8FBB629-A78E-4FEC-805B-D2E6FA52751C}" srcOrd="1" destOrd="0" presId="urn:microsoft.com/office/officeart/2005/8/layout/hierarchy3"/>
    <dgm:cxn modelId="{61852D9A-37A3-4301-BCE2-803217531392}" type="presOf" srcId="{024C6D1E-7814-409E-B8B1-3D9FA8F4DCDB}" destId="{81523859-536A-4F85-A81C-5583B443805B}" srcOrd="0" destOrd="0" presId="urn:microsoft.com/office/officeart/2005/8/layout/hierarchy3"/>
    <dgm:cxn modelId="{60C22D9A-A3A4-440A-ABC5-5ADE78778A35}" type="presOf" srcId="{131A9808-BABC-466D-9763-EAFD27AA5C62}" destId="{837DE357-A251-4761-B0A9-F5511AB97016}" srcOrd="0" destOrd="0" presId="urn:microsoft.com/office/officeart/2005/8/layout/hierarchy3"/>
    <dgm:cxn modelId="{737D1E9F-17FB-4401-8AFE-7B2D451C93E4}" type="presOf" srcId="{F86966C4-94BF-4AFC-B28A-438BC34380CF}" destId="{4A5465C1-CB24-4132-A5DD-95688A45382A}" srcOrd="1" destOrd="0" presId="urn:microsoft.com/office/officeart/2005/8/layout/hierarchy3"/>
    <dgm:cxn modelId="{7F7E11B0-E0F3-4133-8B2D-B726C8AC2A46}" type="presOf" srcId="{F86966C4-94BF-4AFC-B28A-438BC34380CF}" destId="{3E2F0EE2-9CD2-42ED-BE72-172FDE13CA48}" srcOrd="0" destOrd="0" presId="urn:microsoft.com/office/officeart/2005/8/layout/hierarchy3"/>
    <dgm:cxn modelId="{AC4882B0-6974-456A-BDE2-BB5FFE9405CA}" type="presOf" srcId="{B24693BE-7246-43A3-B71B-18008E72DE30}" destId="{4282C2F9-EECD-4BFF-BE67-23270836CC8B}" srcOrd="0" destOrd="0" presId="urn:microsoft.com/office/officeart/2005/8/layout/hierarchy3"/>
    <dgm:cxn modelId="{8E659ABA-3B4A-4B0E-AB3E-D08F1B4B562F}" type="presOf" srcId="{CA4D76A5-D19C-49AB-9E1C-F39864890ECC}" destId="{081C1E77-7E2F-4ECA-B531-4C149FEA6DEA}" srcOrd="0" destOrd="0" presId="urn:microsoft.com/office/officeart/2005/8/layout/hierarchy3"/>
    <dgm:cxn modelId="{6234EBCB-C708-4D7D-B804-B2BDCA92B680}" type="presOf" srcId="{42F22835-285A-4DA5-87D4-CCE36E638AC1}" destId="{183C7E6F-0C1D-42A0-811A-8FB5B2E86B3E}" srcOrd="0" destOrd="0" presId="urn:microsoft.com/office/officeart/2005/8/layout/hierarchy3"/>
    <dgm:cxn modelId="{73C2B1CE-2AD1-4D5A-BDB2-E36533602C4C}" type="presOf" srcId="{5D58C39C-1D26-4D14-8312-44321ED7D5E3}" destId="{4D90D950-2516-44E3-8D84-F8F4418D9E96}" srcOrd="0" destOrd="0" presId="urn:microsoft.com/office/officeart/2005/8/layout/hierarchy3"/>
    <dgm:cxn modelId="{6827AFCF-B816-4AD5-8293-07B86069D696}" type="presOf" srcId="{73A65BE6-F35D-4724-974E-A10609E8C118}" destId="{9A902C23-4184-4DD5-B6DB-7473566C03B2}" srcOrd="1" destOrd="0" presId="urn:microsoft.com/office/officeart/2005/8/layout/hierarchy3"/>
    <dgm:cxn modelId="{050536D4-0ABA-4550-ABE9-4446B85A6FB2}" type="presOf" srcId="{FC719324-DC74-4BBF-8856-D9472E7F92A8}" destId="{CEF62ED0-E2D7-4879-9B89-CE19A606DFBA}" srcOrd="0" destOrd="0" presId="urn:microsoft.com/office/officeart/2005/8/layout/hierarchy3"/>
    <dgm:cxn modelId="{105E92DB-2FD7-4C8A-B867-0893F85E2F43}" srcId="{E06B967B-2B7B-4DE0-B4FC-E54B53D3FDDF}" destId="{5D58C39C-1D26-4D14-8312-44321ED7D5E3}" srcOrd="2" destOrd="0" parTransId="{23B94111-1DBB-414F-B3D3-63AE5BD2BAE2}" sibTransId="{2E0256D0-A5B2-4415-887E-AB982FD82BCF}"/>
    <dgm:cxn modelId="{EE3586DC-53C5-4C97-AF22-24DE26DEB707}" type="presOf" srcId="{793CF1FF-18B7-4068-8D45-CAFCA4780FC7}" destId="{BC57F5B8-B78C-4F1A-B322-7EC1B8E47301}" srcOrd="0" destOrd="0" presId="urn:microsoft.com/office/officeart/2005/8/layout/hierarchy3"/>
    <dgm:cxn modelId="{72DE35DE-9745-48C1-AB9A-FC9912532E3F}" type="presOf" srcId="{30FB1DB3-1E94-46A2-A841-5C17902F3161}" destId="{78767424-43D4-4A58-840C-CFD37654252F}" srcOrd="0" destOrd="0" presId="urn:microsoft.com/office/officeart/2005/8/layout/hierarchy3"/>
    <dgm:cxn modelId="{2E1E40E0-96CF-400D-A863-5725D2C2E29E}" type="presOf" srcId="{661B9B9B-4087-485A-AE83-59692FAE51AC}" destId="{4ED0347A-D834-4F98-92A7-5B7483E2D269}" srcOrd="0" destOrd="0" presId="urn:microsoft.com/office/officeart/2005/8/layout/hierarchy3"/>
    <dgm:cxn modelId="{0CBC68E3-3BD1-4D02-9FE9-D0FAC76AC4C3}" srcId="{E06B967B-2B7B-4DE0-B4FC-E54B53D3FDDF}" destId="{F86966C4-94BF-4AFC-B28A-438BC34380CF}" srcOrd="1" destOrd="0" parTransId="{7DEBD706-EA4D-4D2C-8847-6086AD91BF49}" sibTransId="{3D2F13AB-2298-42F8-B448-612BCC3D2DA6}"/>
    <dgm:cxn modelId="{BB3916E7-1411-45EF-8829-8BF55CA44B8E}" srcId="{73A65BE6-F35D-4724-974E-A10609E8C118}" destId="{FDA3BAB9-9CB5-412F-941E-05E238ED0C73}" srcOrd="0" destOrd="0" parTransId="{AC42BD1B-4F27-4B55-B11B-113573D8509D}" sibTransId="{E0D2CB87-B8DC-4C9D-A56A-CD70709FF033}"/>
    <dgm:cxn modelId="{6BEC93D0-6AE6-4298-9A8E-BCB6427B183F}" type="presParOf" srcId="{30E4DB5D-4E8A-4DE5-9CD7-16C10B8ACE75}" destId="{A20497B4-C1EF-4A48-942F-DE6B80D10779}" srcOrd="0" destOrd="0" presId="urn:microsoft.com/office/officeart/2005/8/layout/hierarchy3"/>
    <dgm:cxn modelId="{96EF42D7-D5DD-4F55-B7E2-89A40A3CA2AC}" type="presParOf" srcId="{A20497B4-C1EF-4A48-942F-DE6B80D10779}" destId="{4B9BE7E9-4683-49ED-A4C8-2B11D8F4CB1B}" srcOrd="0" destOrd="0" presId="urn:microsoft.com/office/officeart/2005/8/layout/hierarchy3"/>
    <dgm:cxn modelId="{DFBBEFF9-C9F5-45D5-9669-C901A7920DBA}" type="presParOf" srcId="{4B9BE7E9-4683-49ED-A4C8-2B11D8F4CB1B}" destId="{081C1E77-7E2F-4ECA-B531-4C149FEA6DEA}" srcOrd="0" destOrd="0" presId="urn:microsoft.com/office/officeart/2005/8/layout/hierarchy3"/>
    <dgm:cxn modelId="{1D200FF1-E329-4003-A76E-A1505FA06422}" type="presParOf" srcId="{4B9BE7E9-4683-49ED-A4C8-2B11D8F4CB1B}" destId="{A8FBB629-A78E-4FEC-805B-D2E6FA52751C}" srcOrd="1" destOrd="0" presId="urn:microsoft.com/office/officeart/2005/8/layout/hierarchy3"/>
    <dgm:cxn modelId="{48523964-A7DE-4667-8BDE-2FB167ED7399}" type="presParOf" srcId="{A20497B4-C1EF-4A48-942F-DE6B80D10779}" destId="{EBCB1217-29E7-445F-AC69-A0126E3DA1AC}" srcOrd="1" destOrd="0" presId="urn:microsoft.com/office/officeart/2005/8/layout/hierarchy3"/>
    <dgm:cxn modelId="{E96FA84F-C255-4944-B96A-2E52AB1863C5}" type="presParOf" srcId="{30E4DB5D-4E8A-4DE5-9CD7-16C10B8ACE75}" destId="{913DD055-9E2F-4E9C-91E8-D7B6A73B8D57}" srcOrd="1" destOrd="0" presId="urn:microsoft.com/office/officeart/2005/8/layout/hierarchy3"/>
    <dgm:cxn modelId="{2D78F2D5-B8D1-4760-81D7-506087B98122}" type="presParOf" srcId="{913DD055-9E2F-4E9C-91E8-D7B6A73B8D57}" destId="{1245900D-E947-41AF-87B9-C0424E1B587C}" srcOrd="0" destOrd="0" presId="urn:microsoft.com/office/officeart/2005/8/layout/hierarchy3"/>
    <dgm:cxn modelId="{215D5070-20DA-4D79-A9E8-3AEA606DFDB0}" type="presParOf" srcId="{1245900D-E947-41AF-87B9-C0424E1B587C}" destId="{3E2F0EE2-9CD2-42ED-BE72-172FDE13CA48}" srcOrd="0" destOrd="0" presId="urn:microsoft.com/office/officeart/2005/8/layout/hierarchy3"/>
    <dgm:cxn modelId="{DCC21264-9B30-4D88-9C23-CD9194531241}" type="presParOf" srcId="{1245900D-E947-41AF-87B9-C0424E1B587C}" destId="{4A5465C1-CB24-4132-A5DD-95688A45382A}" srcOrd="1" destOrd="0" presId="urn:microsoft.com/office/officeart/2005/8/layout/hierarchy3"/>
    <dgm:cxn modelId="{40AFE233-0CA2-425F-BEC4-63389AC861CB}" type="presParOf" srcId="{913DD055-9E2F-4E9C-91E8-D7B6A73B8D57}" destId="{8262B614-1391-4D03-A1D4-572E21311930}" srcOrd="1" destOrd="0" presId="urn:microsoft.com/office/officeart/2005/8/layout/hierarchy3"/>
    <dgm:cxn modelId="{CF5F6A9F-2808-49B1-8030-8761D9371091}" type="presParOf" srcId="{8262B614-1391-4D03-A1D4-572E21311930}" destId="{BC57F5B8-B78C-4F1A-B322-7EC1B8E47301}" srcOrd="0" destOrd="0" presId="urn:microsoft.com/office/officeart/2005/8/layout/hierarchy3"/>
    <dgm:cxn modelId="{319F913B-243B-422D-A2FE-6A6CC1A152ED}" type="presParOf" srcId="{8262B614-1391-4D03-A1D4-572E21311930}" destId="{4BF7702C-BABD-439A-B3C7-77630446E88A}" srcOrd="1" destOrd="0" presId="urn:microsoft.com/office/officeart/2005/8/layout/hierarchy3"/>
    <dgm:cxn modelId="{007C980B-B57A-4A60-996A-205673A0DF69}" type="presParOf" srcId="{8262B614-1391-4D03-A1D4-572E21311930}" destId="{CEF62ED0-E2D7-4879-9B89-CE19A606DFBA}" srcOrd="2" destOrd="0" presId="urn:microsoft.com/office/officeart/2005/8/layout/hierarchy3"/>
    <dgm:cxn modelId="{8943EC8A-92F3-4643-8652-BBA2CE95348D}" type="presParOf" srcId="{8262B614-1391-4D03-A1D4-572E21311930}" destId="{4ED0347A-D834-4F98-92A7-5B7483E2D269}" srcOrd="3" destOrd="0" presId="urn:microsoft.com/office/officeart/2005/8/layout/hierarchy3"/>
    <dgm:cxn modelId="{FF7A9F31-3589-4B79-BAF5-B903AA711604}" type="presParOf" srcId="{8262B614-1391-4D03-A1D4-572E21311930}" destId="{81523859-536A-4F85-A81C-5583B443805B}" srcOrd="4" destOrd="0" presId="urn:microsoft.com/office/officeart/2005/8/layout/hierarchy3"/>
    <dgm:cxn modelId="{D2DDA46F-14A4-414A-8BB7-52D737DFB274}" type="presParOf" srcId="{8262B614-1391-4D03-A1D4-572E21311930}" destId="{183C7E6F-0C1D-42A0-811A-8FB5B2E86B3E}" srcOrd="5" destOrd="0" presId="urn:microsoft.com/office/officeart/2005/8/layout/hierarchy3"/>
    <dgm:cxn modelId="{BA1EEF34-63FE-4273-92AF-7809B9EAC94E}" type="presParOf" srcId="{8262B614-1391-4D03-A1D4-572E21311930}" destId="{D95375C2-0C0D-492C-ACCA-094174D7AFF1}" srcOrd="6" destOrd="0" presId="urn:microsoft.com/office/officeart/2005/8/layout/hierarchy3"/>
    <dgm:cxn modelId="{AB180B56-8404-49C9-A94F-97F7363E0BA9}" type="presParOf" srcId="{8262B614-1391-4D03-A1D4-572E21311930}" destId="{7C7C5AE4-982C-49D2-81D0-01B83045E9EE}" srcOrd="7" destOrd="0" presId="urn:microsoft.com/office/officeart/2005/8/layout/hierarchy3"/>
    <dgm:cxn modelId="{2AF5337B-0869-48FB-A8D1-D964C4812948}" type="presParOf" srcId="{8262B614-1391-4D03-A1D4-572E21311930}" destId="{78767424-43D4-4A58-840C-CFD37654252F}" srcOrd="8" destOrd="0" presId="urn:microsoft.com/office/officeart/2005/8/layout/hierarchy3"/>
    <dgm:cxn modelId="{8D4163F1-B35A-4AFB-9450-5FD48FA8C802}" type="presParOf" srcId="{8262B614-1391-4D03-A1D4-572E21311930}" destId="{4282C2F9-EECD-4BFF-BE67-23270836CC8B}" srcOrd="9" destOrd="0" presId="urn:microsoft.com/office/officeart/2005/8/layout/hierarchy3"/>
    <dgm:cxn modelId="{7E484237-40D7-43E9-9911-D4774CD8B7E2}" type="presParOf" srcId="{30E4DB5D-4E8A-4DE5-9CD7-16C10B8ACE75}" destId="{3B34D155-CCE7-4DE8-9E12-414F15587ED6}" srcOrd="2" destOrd="0" presId="urn:microsoft.com/office/officeart/2005/8/layout/hierarchy3"/>
    <dgm:cxn modelId="{7E3BC921-C417-47C7-A812-56652DAA4528}" type="presParOf" srcId="{3B34D155-CCE7-4DE8-9E12-414F15587ED6}" destId="{DF04A9CE-3B65-41D0-B1BA-A8F42A5FA9F6}" srcOrd="0" destOrd="0" presId="urn:microsoft.com/office/officeart/2005/8/layout/hierarchy3"/>
    <dgm:cxn modelId="{9292579C-1F45-4390-AF2C-C568158C3901}" type="presParOf" srcId="{DF04A9CE-3B65-41D0-B1BA-A8F42A5FA9F6}" destId="{4D90D950-2516-44E3-8D84-F8F4418D9E96}" srcOrd="0" destOrd="0" presId="urn:microsoft.com/office/officeart/2005/8/layout/hierarchy3"/>
    <dgm:cxn modelId="{3C7DBF13-C47D-4D87-A7B0-F10281C1E014}" type="presParOf" srcId="{DF04A9CE-3B65-41D0-B1BA-A8F42A5FA9F6}" destId="{CEAC2C5B-D2B8-4E15-B458-A9DE683489AB}" srcOrd="1" destOrd="0" presId="urn:microsoft.com/office/officeart/2005/8/layout/hierarchy3"/>
    <dgm:cxn modelId="{B96E145A-924C-4B34-BA5E-BA5F5FC11560}" type="presParOf" srcId="{3B34D155-CCE7-4DE8-9E12-414F15587ED6}" destId="{D9DC27E2-3CCB-409C-949D-76851DB01E80}" srcOrd="1" destOrd="0" presId="urn:microsoft.com/office/officeart/2005/8/layout/hierarchy3"/>
    <dgm:cxn modelId="{2D5C0565-11DA-459F-B108-776D2CFC0931}" type="presParOf" srcId="{D9DC27E2-3CCB-409C-949D-76851DB01E80}" destId="{837DE357-A251-4761-B0A9-F5511AB97016}" srcOrd="0" destOrd="0" presId="urn:microsoft.com/office/officeart/2005/8/layout/hierarchy3"/>
    <dgm:cxn modelId="{3E23104E-426A-433A-9923-76027A2DEA0E}" type="presParOf" srcId="{D9DC27E2-3CCB-409C-949D-76851DB01E80}" destId="{B138AE41-D645-4B1E-B43A-165B3B864C14}" srcOrd="1" destOrd="0" presId="urn:microsoft.com/office/officeart/2005/8/layout/hierarchy3"/>
    <dgm:cxn modelId="{9EA386E2-5544-4B20-A710-1B59C1102908}" type="presParOf" srcId="{D9DC27E2-3CCB-409C-949D-76851DB01E80}" destId="{5092E9FA-13A4-4397-A0FD-81577AE1C872}" srcOrd="2" destOrd="0" presId="urn:microsoft.com/office/officeart/2005/8/layout/hierarchy3"/>
    <dgm:cxn modelId="{539C325B-73B0-435C-B56F-404EF5C5AD3F}" type="presParOf" srcId="{D9DC27E2-3CCB-409C-949D-76851DB01E80}" destId="{361B7511-BA78-4188-98B0-E35BA3684F16}" srcOrd="3" destOrd="0" presId="urn:microsoft.com/office/officeart/2005/8/layout/hierarchy3"/>
    <dgm:cxn modelId="{B158EACB-DD02-49C4-B601-DF903ABAB47F}" type="presParOf" srcId="{30E4DB5D-4E8A-4DE5-9CD7-16C10B8ACE75}" destId="{C4E13D7E-B8D2-4AE3-B033-A4C8C7F8F432}" srcOrd="3" destOrd="0" presId="urn:microsoft.com/office/officeart/2005/8/layout/hierarchy3"/>
    <dgm:cxn modelId="{B462F7B2-DA99-4129-AC85-6E4DC8E8F826}" type="presParOf" srcId="{C4E13D7E-B8D2-4AE3-B033-A4C8C7F8F432}" destId="{358BC90B-F869-4C07-A12A-5A639708D99C}" srcOrd="0" destOrd="0" presId="urn:microsoft.com/office/officeart/2005/8/layout/hierarchy3"/>
    <dgm:cxn modelId="{7F30BE17-9638-4D76-8EB0-DED5998FB66F}" type="presParOf" srcId="{358BC90B-F869-4C07-A12A-5A639708D99C}" destId="{8451D842-2468-465B-BC7E-4EF1830F19FB}" srcOrd="0" destOrd="0" presId="urn:microsoft.com/office/officeart/2005/8/layout/hierarchy3"/>
    <dgm:cxn modelId="{B044727D-C3AC-4BBA-B3CB-DE5E4C5BEBB1}" type="presParOf" srcId="{358BC90B-F869-4C07-A12A-5A639708D99C}" destId="{9A902C23-4184-4DD5-B6DB-7473566C03B2}" srcOrd="1" destOrd="0" presId="urn:microsoft.com/office/officeart/2005/8/layout/hierarchy3"/>
    <dgm:cxn modelId="{A54C2108-AA3C-47BF-988C-36CA241E48B9}" type="presParOf" srcId="{C4E13D7E-B8D2-4AE3-B033-A4C8C7F8F432}" destId="{F01DD97B-4303-4BB4-B82B-79E42EC3FA66}" srcOrd="1" destOrd="0" presId="urn:microsoft.com/office/officeart/2005/8/layout/hierarchy3"/>
    <dgm:cxn modelId="{B601345E-7521-41D5-A12D-3BB69C9B53C0}" type="presParOf" srcId="{F01DD97B-4303-4BB4-B82B-79E42EC3FA66}" destId="{2ACFB59C-C4D5-4F52-8489-C4F5B12AAFFF}" srcOrd="0" destOrd="0" presId="urn:microsoft.com/office/officeart/2005/8/layout/hierarchy3"/>
    <dgm:cxn modelId="{E7EBD991-F0AD-4390-8C8E-83EE71680E56}" type="presParOf" srcId="{F01DD97B-4303-4BB4-B82B-79E42EC3FA66}" destId="{7E3797BC-10D0-4F02-956E-64C9B33A64D4}" srcOrd="1" destOrd="0" presId="urn:microsoft.com/office/officeart/2005/8/layout/hierarchy3"/>
    <dgm:cxn modelId="{6AA9455D-0FBA-479D-8DED-FFB38D87BE92}" type="presParOf" srcId="{F01DD97B-4303-4BB4-B82B-79E42EC3FA66}" destId="{68E29D05-3EA3-4DAC-999C-CA7085781DC6}" srcOrd="2" destOrd="0" presId="urn:microsoft.com/office/officeart/2005/8/layout/hierarchy3"/>
    <dgm:cxn modelId="{3144F0A2-9117-451C-8719-946048AF2FBF}" type="presParOf" srcId="{F01DD97B-4303-4BB4-B82B-79E42EC3FA66}" destId="{067447C5-E22A-47E0-994D-BEE630E89DDB}" srcOrd="3" destOrd="0" presId="urn:microsoft.com/office/officeart/2005/8/layout/hierarchy3"/>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1C1E77-7E2F-4ECA-B531-4C149FEA6DEA}">
      <dsp:nvSpPr>
        <dsp:cNvPr id="0" name=""/>
        <dsp:cNvSpPr/>
      </dsp:nvSpPr>
      <dsp:spPr>
        <a:xfrm>
          <a:off x="1263" y="554654"/>
          <a:ext cx="1005729" cy="1805935"/>
        </a:xfrm>
        <a:prstGeom prst="roundRect">
          <a:avLst>
            <a:gd name="adj" fmla="val 10000"/>
          </a:avLst>
        </a:prstGeom>
        <a:solidFill>
          <a:srgbClr val="92D050">
            <a:alpha val="5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GB" sz="900" b="1" kern="1200">
              <a:solidFill>
                <a:sysClr val="window" lastClr="FFFFFF"/>
              </a:solidFill>
              <a:latin typeface="Calibri"/>
              <a:ea typeface="+mn-ea"/>
              <a:cs typeface="+mn-cs"/>
            </a:rPr>
            <a:t>IT Services Information Security Policies</a:t>
          </a:r>
        </a:p>
      </dsp:txBody>
      <dsp:txXfrm>
        <a:off x="30720" y="584111"/>
        <a:ext cx="946815" cy="1747021"/>
      </dsp:txXfrm>
    </dsp:sp>
    <dsp:sp modelId="{3E2F0EE2-9CD2-42ED-BE72-172FDE13CA48}">
      <dsp:nvSpPr>
        <dsp:cNvPr id="0" name=""/>
        <dsp:cNvSpPr/>
      </dsp:nvSpPr>
      <dsp:spPr>
        <a:xfrm>
          <a:off x="1219089" y="554654"/>
          <a:ext cx="2034578" cy="683001"/>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20320" rIns="30480" bIns="20320" numCol="1" spcCol="1270" anchor="t" anchorCtr="0">
          <a:noAutofit/>
        </a:bodyPr>
        <a:lstStyle/>
        <a:p>
          <a:pPr marL="0" lvl="0" indent="0" algn="ctr" defTabSz="711200">
            <a:lnSpc>
              <a:spcPct val="90000"/>
            </a:lnSpc>
            <a:spcBef>
              <a:spcPct val="0"/>
            </a:spcBef>
            <a:spcAft>
              <a:spcPct val="35000"/>
            </a:spcAft>
            <a:buNone/>
          </a:pPr>
          <a:r>
            <a:rPr lang="en-GB" sz="1600" b="1" kern="1200">
              <a:solidFill>
                <a:sysClr val="window" lastClr="FFFFFF"/>
              </a:solidFill>
              <a:latin typeface="Calibri"/>
              <a:ea typeface="+mn-ea"/>
              <a:cs typeface="+mn-cs"/>
            </a:rPr>
            <a:t>IG Management </a:t>
          </a:r>
        </a:p>
        <a:p>
          <a:pPr marL="0" lvl="0" indent="0" algn="ctr" defTabSz="711200">
            <a:lnSpc>
              <a:spcPct val="90000"/>
            </a:lnSpc>
            <a:spcBef>
              <a:spcPct val="0"/>
            </a:spcBef>
            <a:spcAft>
              <a:spcPct val="35000"/>
            </a:spcAft>
            <a:buNone/>
          </a:pPr>
          <a:r>
            <a:rPr lang="en-GB" sz="1600" b="1" kern="1200">
              <a:solidFill>
                <a:sysClr val="window" lastClr="FFFFFF"/>
              </a:solidFill>
              <a:latin typeface="Calibri"/>
              <a:ea typeface="+mn-ea"/>
              <a:cs typeface="+mn-cs"/>
            </a:rPr>
            <a:t>Framework</a:t>
          </a:r>
        </a:p>
      </dsp:txBody>
      <dsp:txXfrm>
        <a:off x="1239093" y="574658"/>
        <a:ext cx="1994570" cy="642993"/>
      </dsp:txXfrm>
    </dsp:sp>
    <dsp:sp modelId="{BC57F5B8-B78C-4F1A-B322-7EC1B8E47301}">
      <dsp:nvSpPr>
        <dsp:cNvPr id="0" name=""/>
        <dsp:cNvSpPr/>
      </dsp:nvSpPr>
      <dsp:spPr>
        <a:xfrm>
          <a:off x="1422546" y="1237655"/>
          <a:ext cx="234685" cy="310604"/>
        </a:xfrm>
        <a:custGeom>
          <a:avLst/>
          <a:gdLst/>
          <a:ahLst/>
          <a:cxnLst/>
          <a:rect l="0" t="0" r="0" b="0"/>
          <a:pathLst>
            <a:path>
              <a:moveTo>
                <a:pt x="0" y="0"/>
              </a:moveTo>
              <a:lnTo>
                <a:pt x="0" y="340837"/>
              </a:lnTo>
              <a:lnTo>
                <a:pt x="322027" y="340837"/>
              </a:lnTo>
            </a:path>
          </a:pathLst>
        </a:custGeom>
        <a:noFill/>
        <a:ln w="9525" cap="flat" cmpd="sng" algn="ctr">
          <a:solidFill>
            <a:srgbClr val="4F81BD">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4BF7702C-BABD-439A-B3C7-77630446E88A}">
      <dsp:nvSpPr>
        <dsp:cNvPr id="0" name=""/>
        <dsp:cNvSpPr/>
      </dsp:nvSpPr>
      <dsp:spPr>
        <a:xfrm>
          <a:off x="1657231" y="1336165"/>
          <a:ext cx="1848160" cy="424190"/>
        </a:xfrm>
        <a:prstGeom prst="roundRect">
          <a:avLst>
            <a:gd name="adj" fmla="val 10000"/>
          </a:avLst>
        </a:prstGeom>
        <a:solidFill>
          <a:schemeClr val="accent1">
            <a:lumMod val="60000"/>
            <a:lumOff val="40000"/>
            <a:alpha val="90000"/>
          </a:schemeClr>
        </a:solidFill>
        <a:ln w="9525" cap="flat" cmpd="sng" algn="ctr">
          <a:solidFill>
            <a:srgbClr val="4F81BD">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GB" sz="900" b="1" kern="1200">
              <a:solidFill>
                <a:schemeClr val="bg1"/>
              </a:solidFill>
              <a:latin typeface="Calibri"/>
              <a:ea typeface="+mn-ea"/>
              <a:cs typeface="+mn-cs"/>
            </a:rPr>
            <a:t>Freedom of Information Policy</a:t>
          </a:r>
        </a:p>
        <a:p>
          <a:pPr marL="0" lvl="0" indent="0" algn="ctr" defTabSz="400050">
            <a:lnSpc>
              <a:spcPct val="90000"/>
            </a:lnSpc>
            <a:spcBef>
              <a:spcPct val="0"/>
            </a:spcBef>
            <a:spcAft>
              <a:spcPct val="35000"/>
            </a:spcAft>
            <a:buNone/>
          </a:pPr>
          <a:r>
            <a:rPr lang="en-GB" sz="900" b="1" kern="1200">
              <a:solidFill>
                <a:schemeClr val="bg1"/>
              </a:solidFill>
              <a:latin typeface="Calibri"/>
              <a:ea typeface="+mn-ea"/>
              <a:cs typeface="+mn-cs"/>
            </a:rPr>
            <a:t>Individual Rights Policy</a:t>
          </a:r>
        </a:p>
      </dsp:txBody>
      <dsp:txXfrm>
        <a:off x="1669655" y="1348589"/>
        <a:ext cx="1823312" cy="399342"/>
      </dsp:txXfrm>
    </dsp:sp>
    <dsp:sp modelId="{CEF62ED0-E2D7-4879-9B89-CE19A606DFBA}">
      <dsp:nvSpPr>
        <dsp:cNvPr id="0" name=""/>
        <dsp:cNvSpPr/>
      </dsp:nvSpPr>
      <dsp:spPr>
        <a:xfrm>
          <a:off x="1422546" y="1237655"/>
          <a:ext cx="235112" cy="878404"/>
        </a:xfrm>
        <a:custGeom>
          <a:avLst/>
          <a:gdLst/>
          <a:ahLst/>
          <a:cxnLst/>
          <a:rect l="0" t="0" r="0" b="0"/>
          <a:pathLst>
            <a:path>
              <a:moveTo>
                <a:pt x="0" y="0"/>
              </a:moveTo>
              <a:lnTo>
                <a:pt x="0" y="908900"/>
              </a:lnTo>
              <a:lnTo>
                <a:pt x="322027" y="908900"/>
              </a:lnTo>
            </a:path>
          </a:pathLst>
        </a:custGeom>
        <a:noFill/>
        <a:ln w="9525" cap="flat" cmpd="sng" algn="ctr">
          <a:solidFill>
            <a:srgbClr val="4F81BD">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4ED0347A-D834-4F98-92A7-5B7483E2D269}">
      <dsp:nvSpPr>
        <dsp:cNvPr id="0" name=""/>
        <dsp:cNvSpPr/>
      </dsp:nvSpPr>
      <dsp:spPr>
        <a:xfrm>
          <a:off x="1657659" y="1903965"/>
          <a:ext cx="1864632" cy="424190"/>
        </a:xfrm>
        <a:prstGeom prst="roundRect">
          <a:avLst>
            <a:gd name="adj" fmla="val 10000"/>
          </a:avLst>
        </a:prstGeom>
        <a:solidFill>
          <a:schemeClr val="accent1">
            <a:lumMod val="60000"/>
            <a:lumOff val="40000"/>
            <a:alpha val="90000"/>
          </a:schemeClr>
        </a:solidFill>
        <a:ln w="9525" cap="flat" cmpd="sng" algn="ctr">
          <a:solidFill>
            <a:srgbClr val="4F81BD">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GB" sz="900" b="1" kern="1200">
              <a:solidFill>
                <a:schemeClr val="bg1"/>
              </a:solidFill>
              <a:latin typeface="Calibri"/>
              <a:ea typeface="+mn-ea"/>
              <a:cs typeface="+mn-cs"/>
            </a:rPr>
            <a:t>Confidentiality and Security of Information Policy</a:t>
          </a:r>
        </a:p>
      </dsp:txBody>
      <dsp:txXfrm>
        <a:off x="1670083" y="1916389"/>
        <a:ext cx="1839784" cy="399342"/>
      </dsp:txXfrm>
    </dsp:sp>
    <dsp:sp modelId="{81523859-536A-4F85-A81C-5583B443805B}">
      <dsp:nvSpPr>
        <dsp:cNvPr id="0" name=""/>
        <dsp:cNvSpPr/>
      </dsp:nvSpPr>
      <dsp:spPr>
        <a:xfrm>
          <a:off x="1422546" y="1237655"/>
          <a:ext cx="226683" cy="1462260"/>
        </a:xfrm>
        <a:custGeom>
          <a:avLst/>
          <a:gdLst/>
          <a:ahLst/>
          <a:cxnLst/>
          <a:rect l="0" t="0" r="0" b="0"/>
          <a:pathLst>
            <a:path>
              <a:moveTo>
                <a:pt x="0" y="0"/>
              </a:moveTo>
              <a:lnTo>
                <a:pt x="0" y="1476962"/>
              </a:lnTo>
              <a:lnTo>
                <a:pt x="322027" y="1476962"/>
              </a:lnTo>
            </a:path>
          </a:pathLst>
        </a:custGeom>
        <a:noFill/>
        <a:ln w="9525" cap="flat" cmpd="sng" algn="ctr">
          <a:solidFill>
            <a:srgbClr val="4F81BD">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183C7E6F-0C1D-42A0-811A-8FB5B2E86B3E}">
      <dsp:nvSpPr>
        <dsp:cNvPr id="0" name=""/>
        <dsp:cNvSpPr/>
      </dsp:nvSpPr>
      <dsp:spPr>
        <a:xfrm>
          <a:off x="1649230" y="2487821"/>
          <a:ext cx="1848160" cy="424190"/>
        </a:xfrm>
        <a:prstGeom prst="roundRect">
          <a:avLst>
            <a:gd name="adj" fmla="val 10000"/>
          </a:avLst>
        </a:prstGeom>
        <a:solidFill>
          <a:schemeClr val="accent1">
            <a:lumMod val="60000"/>
            <a:lumOff val="40000"/>
            <a:alpha val="90000"/>
          </a:schemeClr>
        </a:solidFill>
        <a:ln w="9525" cap="flat" cmpd="sng" algn="ctr">
          <a:solidFill>
            <a:srgbClr val="4F81BD">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GB" sz="900" b="1" kern="1200">
              <a:solidFill>
                <a:schemeClr val="bg1"/>
              </a:solidFill>
              <a:latin typeface="Calibri"/>
              <a:ea typeface="+mn-ea"/>
              <a:cs typeface="+mn-cs"/>
            </a:rPr>
            <a:t>Information Governance Policy</a:t>
          </a:r>
        </a:p>
      </dsp:txBody>
      <dsp:txXfrm>
        <a:off x="1661654" y="2500245"/>
        <a:ext cx="1823312" cy="399342"/>
      </dsp:txXfrm>
    </dsp:sp>
    <dsp:sp modelId="{D95375C2-0C0D-492C-ACCA-094174D7AFF1}">
      <dsp:nvSpPr>
        <dsp:cNvPr id="0" name=""/>
        <dsp:cNvSpPr/>
      </dsp:nvSpPr>
      <dsp:spPr>
        <a:xfrm>
          <a:off x="1422546" y="1237655"/>
          <a:ext cx="233850" cy="2003455"/>
        </a:xfrm>
        <a:custGeom>
          <a:avLst/>
          <a:gdLst/>
          <a:ahLst/>
          <a:cxnLst/>
          <a:rect l="0" t="0" r="0" b="0"/>
          <a:pathLst>
            <a:path>
              <a:moveTo>
                <a:pt x="0" y="0"/>
              </a:moveTo>
              <a:lnTo>
                <a:pt x="0" y="2045025"/>
              </a:lnTo>
              <a:lnTo>
                <a:pt x="322027" y="2045025"/>
              </a:lnTo>
            </a:path>
          </a:pathLst>
        </a:custGeom>
        <a:noFill/>
        <a:ln w="9525" cap="flat" cmpd="sng" algn="ctr">
          <a:solidFill>
            <a:srgbClr val="4F81BD">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7C7C5AE4-982C-49D2-81D0-01B83045E9EE}">
      <dsp:nvSpPr>
        <dsp:cNvPr id="0" name=""/>
        <dsp:cNvSpPr/>
      </dsp:nvSpPr>
      <dsp:spPr>
        <a:xfrm>
          <a:off x="1656397" y="3029015"/>
          <a:ext cx="1848160" cy="424190"/>
        </a:xfrm>
        <a:prstGeom prst="roundRect">
          <a:avLst>
            <a:gd name="adj" fmla="val 10000"/>
          </a:avLst>
        </a:prstGeom>
        <a:solidFill>
          <a:schemeClr val="accent1">
            <a:lumMod val="60000"/>
            <a:lumOff val="40000"/>
            <a:alpha val="90000"/>
          </a:schemeClr>
        </a:solidFill>
        <a:ln w="9525" cap="flat" cmpd="sng" algn="ctr">
          <a:solidFill>
            <a:srgbClr val="4F81BD">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GB" sz="900" b="1" kern="1200">
              <a:solidFill>
                <a:schemeClr val="bg1"/>
              </a:solidFill>
              <a:latin typeface="Calibri"/>
              <a:ea typeface="+mn-ea"/>
              <a:cs typeface="+mn-cs"/>
            </a:rPr>
            <a:t>Records Management Policy</a:t>
          </a:r>
        </a:p>
      </dsp:txBody>
      <dsp:txXfrm>
        <a:off x="1668821" y="3041439"/>
        <a:ext cx="1823312" cy="399342"/>
      </dsp:txXfrm>
    </dsp:sp>
    <dsp:sp modelId="{78767424-43D4-4A58-840C-CFD37654252F}">
      <dsp:nvSpPr>
        <dsp:cNvPr id="0" name=""/>
        <dsp:cNvSpPr/>
      </dsp:nvSpPr>
      <dsp:spPr>
        <a:xfrm>
          <a:off x="1422546" y="1237655"/>
          <a:ext cx="287556" cy="2560574"/>
        </a:xfrm>
        <a:custGeom>
          <a:avLst/>
          <a:gdLst/>
          <a:ahLst/>
          <a:cxnLst/>
          <a:rect l="0" t="0" r="0" b="0"/>
          <a:pathLst>
            <a:path>
              <a:moveTo>
                <a:pt x="0" y="0"/>
              </a:moveTo>
              <a:lnTo>
                <a:pt x="0" y="2560574"/>
              </a:lnTo>
              <a:lnTo>
                <a:pt x="287556" y="2560574"/>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4282C2F9-EECD-4BFF-BE67-23270836CC8B}">
      <dsp:nvSpPr>
        <dsp:cNvPr id="0" name=""/>
        <dsp:cNvSpPr/>
      </dsp:nvSpPr>
      <dsp:spPr>
        <a:xfrm>
          <a:off x="1710103" y="3586134"/>
          <a:ext cx="1817862" cy="424190"/>
        </a:xfrm>
        <a:prstGeom prst="roundRect">
          <a:avLst>
            <a:gd name="adj" fmla="val 10000"/>
          </a:avLst>
        </a:prstGeom>
        <a:solidFill>
          <a:schemeClr val="accent1">
            <a:lumMod val="60000"/>
            <a:lumOff val="40000"/>
            <a:alpha val="90000"/>
          </a:schemeClr>
        </a:solidFill>
        <a:ln w="9525" cap="flat" cmpd="sng" algn="ctr">
          <a:solidFill>
            <a:srgbClr val="4F81BD">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GB" sz="900" b="1" kern="1200">
              <a:solidFill>
                <a:schemeClr val="bg1"/>
              </a:solidFill>
              <a:latin typeface="Calibri"/>
              <a:ea typeface="+mn-ea"/>
              <a:cs typeface="+mn-cs"/>
            </a:rPr>
            <a:t>Data Security and IG Handbook</a:t>
          </a:r>
        </a:p>
      </dsp:txBody>
      <dsp:txXfrm>
        <a:off x="1722527" y="3598558"/>
        <a:ext cx="1793014" cy="399342"/>
      </dsp:txXfrm>
    </dsp:sp>
    <dsp:sp modelId="{4D90D950-2516-44E3-8D84-F8F4418D9E96}">
      <dsp:nvSpPr>
        <dsp:cNvPr id="0" name=""/>
        <dsp:cNvSpPr/>
      </dsp:nvSpPr>
      <dsp:spPr>
        <a:xfrm>
          <a:off x="3519483" y="552342"/>
          <a:ext cx="1073065" cy="731953"/>
        </a:xfrm>
        <a:prstGeom prst="roundRect">
          <a:avLst>
            <a:gd name="adj" fmla="val 10000"/>
          </a:avLst>
        </a:prstGeom>
        <a:solidFill>
          <a:srgbClr val="A1368B">
            <a:alpha val="49804"/>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GB" sz="900" b="1" kern="1200">
              <a:solidFill>
                <a:sysClr val="window" lastClr="FFFFFF"/>
              </a:solidFill>
              <a:latin typeface="Calibri"/>
              <a:ea typeface="+mn-ea"/>
              <a:cs typeface="+mn-cs"/>
            </a:rPr>
            <a:t>Information Risk Management Process</a:t>
          </a:r>
        </a:p>
      </dsp:txBody>
      <dsp:txXfrm>
        <a:off x="3540921" y="573780"/>
        <a:ext cx="1030189" cy="689077"/>
      </dsp:txXfrm>
    </dsp:sp>
    <dsp:sp modelId="{837DE357-A251-4761-B0A9-F5511AB97016}">
      <dsp:nvSpPr>
        <dsp:cNvPr id="0" name=""/>
        <dsp:cNvSpPr/>
      </dsp:nvSpPr>
      <dsp:spPr>
        <a:xfrm>
          <a:off x="3581070" y="1284295"/>
          <a:ext cx="91440" cy="409065"/>
        </a:xfrm>
        <a:custGeom>
          <a:avLst/>
          <a:gdLst/>
          <a:ahLst/>
          <a:cxnLst/>
          <a:rect l="0" t="0" r="0" b="0"/>
          <a:pathLst>
            <a:path>
              <a:moveTo>
                <a:pt x="45720" y="0"/>
              </a:moveTo>
              <a:lnTo>
                <a:pt x="45720" y="409065"/>
              </a:lnTo>
              <a:lnTo>
                <a:pt x="121661" y="409065"/>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B138AE41-D645-4B1E-B43A-165B3B864C14}">
      <dsp:nvSpPr>
        <dsp:cNvPr id="0" name=""/>
        <dsp:cNvSpPr/>
      </dsp:nvSpPr>
      <dsp:spPr>
        <a:xfrm>
          <a:off x="3702732" y="1392654"/>
          <a:ext cx="858690" cy="601412"/>
        </a:xfrm>
        <a:prstGeom prst="roundRect">
          <a:avLst>
            <a:gd name="adj" fmla="val 10000"/>
          </a:avLst>
        </a:prstGeom>
        <a:solidFill>
          <a:srgbClr val="A1368B">
            <a:alpha val="40000"/>
          </a:srgbClr>
        </a:solidFill>
        <a:ln w="6350" cap="flat" cmpd="sng" algn="ctr">
          <a:noFill/>
          <a:prstDash val="solid"/>
          <a:miter lim="800000"/>
        </a:ln>
        <a:effectLst>
          <a:outerShdw blurRad="40000" dist="23000" dir="5400000" rotWithShape="0">
            <a:srgbClr val="000000">
              <a:alpha val="35000"/>
            </a:srgbClr>
          </a:outerShdw>
        </a:effectLst>
      </dsp:spPr>
      <dsp:style>
        <a:lnRef idx="1">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en-GB" sz="800" b="1" kern="1200">
              <a:solidFill>
                <a:sysClr val="window" lastClr="FFFFFF"/>
              </a:solidFill>
              <a:latin typeface="Calibri"/>
              <a:ea typeface="+mn-ea"/>
              <a:cs typeface="+mn-cs"/>
            </a:rPr>
            <a:t>Incident Management &amp; Reporting Procedures</a:t>
          </a:r>
        </a:p>
      </dsp:txBody>
      <dsp:txXfrm>
        <a:off x="3720347" y="1410269"/>
        <a:ext cx="823460" cy="566182"/>
      </dsp:txXfrm>
    </dsp:sp>
    <dsp:sp modelId="{5092E9FA-13A4-4397-A0FD-81577AE1C872}">
      <dsp:nvSpPr>
        <dsp:cNvPr id="0" name=""/>
        <dsp:cNvSpPr/>
      </dsp:nvSpPr>
      <dsp:spPr>
        <a:xfrm>
          <a:off x="3581070" y="1284295"/>
          <a:ext cx="91440" cy="1013783"/>
        </a:xfrm>
        <a:custGeom>
          <a:avLst/>
          <a:gdLst/>
          <a:ahLst/>
          <a:cxnLst/>
          <a:rect l="0" t="0" r="0" b="0"/>
          <a:pathLst>
            <a:path>
              <a:moveTo>
                <a:pt x="45720" y="0"/>
              </a:moveTo>
              <a:lnTo>
                <a:pt x="45720" y="1013783"/>
              </a:lnTo>
              <a:lnTo>
                <a:pt x="121661" y="1013783"/>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361B7511-BA78-4188-98B0-E35BA3684F16}">
      <dsp:nvSpPr>
        <dsp:cNvPr id="0" name=""/>
        <dsp:cNvSpPr/>
      </dsp:nvSpPr>
      <dsp:spPr>
        <a:xfrm>
          <a:off x="3702732" y="2100115"/>
          <a:ext cx="901964" cy="395926"/>
        </a:xfrm>
        <a:prstGeom prst="roundRect">
          <a:avLst>
            <a:gd name="adj" fmla="val 10000"/>
          </a:avLst>
        </a:prstGeom>
        <a:solidFill>
          <a:srgbClr val="A1368B">
            <a:alpha val="40000"/>
          </a:srgbClr>
        </a:solidFill>
        <a:ln w="6350" cap="flat" cmpd="sng" algn="ctr">
          <a:noFill/>
          <a:prstDash val="solid"/>
          <a:miter lim="800000"/>
        </a:ln>
        <a:effectLst>
          <a:outerShdw blurRad="40000" dist="23000" dir="5400000" rotWithShape="0">
            <a:srgbClr val="000000">
              <a:alpha val="35000"/>
            </a:srgbClr>
          </a:outerShdw>
        </a:effectLst>
      </dsp:spPr>
      <dsp:style>
        <a:lnRef idx="1">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en-GB" sz="800" b="1" kern="1200">
              <a:solidFill>
                <a:sysClr val="window" lastClr="FFFFFF"/>
              </a:solidFill>
              <a:latin typeface="Calibri"/>
              <a:ea typeface="+mn-ea"/>
              <a:cs typeface="+mn-cs"/>
            </a:rPr>
            <a:t>Data Protection  Impact Assessment Framework</a:t>
          </a:r>
        </a:p>
      </dsp:txBody>
      <dsp:txXfrm>
        <a:off x="3714328" y="2111711"/>
        <a:ext cx="878772" cy="372734"/>
      </dsp:txXfrm>
    </dsp:sp>
    <dsp:sp modelId="{8451D842-2468-465B-BC7E-4EF1830F19FB}">
      <dsp:nvSpPr>
        <dsp:cNvPr id="0" name=""/>
        <dsp:cNvSpPr/>
      </dsp:nvSpPr>
      <dsp:spPr>
        <a:xfrm>
          <a:off x="4773280" y="554654"/>
          <a:ext cx="848380" cy="424190"/>
        </a:xfrm>
        <a:prstGeom prst="roundRect">
          <a:avLst>
            <a:gd name="adj" fmla="val 10000"/>
          </a:avLst>
        </a:prstGeom>
        <a:solidFill>
          <a:schemeClr val="accent6">
            <a:alpha val="4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en-GB" sz="800" b="1" kern="1200">
              <a:solidFill>
                <a:sysClr val="window" lastClr="FFFFFF"/>
              </a:solidFill>
              <a:latin typeface="Calibri"/>
              <a:ea typeface="+mn-ea"/>
              <a:cs typeface="+mn-cs"/>
            </a:rPr>
            <a:t>IT Policies</a:t>
          </a:r>
        </a:p>
      </dsp:txBody>
      <dsp:txXfrm>
        <a:off x="4785704" y="567078"/>
        <a:ext cx="823532" cy="399342"/>
      </dsp:txXfrm>
    </dsp:sp>
    <dsp:sp modelId="{2ACFB59C-C4D5-4F52-8489-C4F5B12AAFFF}">
      <dsp:nvSpPr>
        <dsp:cNvPr id="0" name=""/>
        <dsp:cNvSpPr/>
      </dsp:nvSpPr>
      <dsp:spPr>
        <a:xfrm>
          <a:off x="4812398" y="978844"/>
          <a:ext cx="91440" cy="748706"/>
        </a:xfrm>
        <a:custGeom>
          <a:avLst/>
          <a:gdLst/>
          <a:ahLst/>
          <a:cxnLst/>
          <a:rect l="0" t="0" r="0" b="0"/>
          <a:pathLst>
            <a:path>
              <a:moveTo>
                <a:pt x="45720" y="0"/>
              </a:moveTo>
              <a:lnTo>
                <a:pt x="45720" y="748706"/>
              </a:lnTo>
              <a:lnTo>
                <a:pt x="130558" y="748706"/>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7E3797BC-10D0-4F02-956E-64C9B33A64D4}">
      <dsp:nvSpPr>
        <dsp:cNvPr id="0" name=""/>
        <dsp:cNvSpPr/>
      </dsp:nvSpPr>
      <dsp:spPr>
        <a:xfrm>
          <a:off x="4942956" y="1084892"/>
          <a:ext cx="678704" cy="1285318"/>
        </a:xfrm>
        <a:prstGeom prst="roundRect">
          <a:avLst>
            <a:gd name="adj" fmla="val 10000"/>
          </a:avLst>
        </a:prstGeom>
        <a:solidFill>
          <a:schemeClr val="accent6">
            <a:alpha val="40000"/>
          </a:schemeClr>
        </a:solidFill>
        <a:ln w="6350" cap="flat" cmpd="sng" algn="ctr">
          <a:noFill/>
          <a:prstDash val="solid"/>
          <a:miter lim="800000"/>
        </a:ln>
        <a:effectLst>
          <a:outerShdw blurRad="40000" dist="23000" dir="5400000" rotWithShape="0">
            <a:srgbClr val="000000">
              <a:alpha val="35000"/>
            </a:srgbClr>
          </a:outerShdw>
        </a:effectLst>
      </dsp:spPr>
      <dsp:style>
        <a:lnRef idx="1">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en-GB" sz="800" b="1" kern="1200">
              <a:solidFill>
                <a:sysClr val="window" lastClr="FFFFFF"/>
              </a:solidFill>
              <a:latin typeface="Calibri"/>
              <a:ea typeface="+mn-ea"/>
              <a:cs typeface="+mn-cs"/>
            </a:rPr>
            <a:t>SCW provided polices including (but not limited to):  Information Security Policy;  Back Up Policy;  Access Control Policy</a:t>
          </a:r>
        </a:p>
        <a:p>
          <a:pPr marL="0" lvl="0" indent="0" algn="ctr" defTabSz="355600">
            <a:lnSpc>
              <a:spcPct val="90000"/>
            </a:lnSpc>
            <a:spcBef>
              <a:spcPct val="0"/>
            </a:spcBef>
            <a:spcAft>
              <a:spcPct val="35000"/>
            </a:spcAft>
            <a:buNone/>
          </a:pPr>
          <a:endParaRPr lang="en-GB" sz="800" b="1" kern="1200">
            <a:solidFill>
              <a:sysClr val="window" lastClr="FFFFFF"/>
            </a:solidFill>
            <a:latin typeface="Calibri"/>
            <a:ea typeface="+mn-ea"/>
            <a:cs typeface="+mn-cs"/>
          </a:endParaRPr>
        </a:p>
      </dsp:txBody>
      <dsp:txXfrm>
        <a:off x="4962835" y="1104771"/>
        <a:ext cx="638946" cy="1245560"/>
      </dsp:txXfrm>
    </dsp:sp>
    <dsp:sp modelId="{68E29D05-3EA3-4DAC-999C-CA7085781DC6}">
      <dsp:nvSpPr>
        <dsp:cNvPr id="0" name=""/>
        <dsp:cNvSpPr/>
      </dsp:nvSpPr>
      <dsp:spPr>
        <a:xfrm>
          <a:off x="4812398" y="978844"/>
          <a:ext cx="91440" cy="2204139"/>
        </a:xfrm>
        <a:custGeom>
          <a:avLst/>
          <a:gdLst/>
          <a:ahLst/>
          <a:cxnLst/>
          <a:rect l="0" t="0" r="0" b="0"/>
          <a:pathLst>
            <a:path>
              <a:moveTo>
                <a:pt x="45720" y="0"/>
              </a:moveTo>
              <a:lnTo>
                <a:pt x="45720" y="2204139"/>
              </a:lnTo>
              <a:lnTo>
                <a:pt x="130558" y="2204139"/>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067447C5-E22A-47E0-994D-BEE630E89DDB}">
      <dsp:nvSpPr>
        <dsp:cNvPr id="0" name=""/>
        <dsp:cNvSpPr/>
      </dsp:nvSpPr>
      <dsp:spPr>
        <a:xfrm>
          <a:off x="4942956" y="2476257"/>
          <a:ext cx="678704" cy="1413453"/>
        </a:xfrm>
        <a:prstGeom prst="roundRect">
          <a:avLst>
            <a:gd name="adj" fmla="val 10000"/>
          </a:avLst>
        </a:prstGeom>
        <a:solidFill>
          <a:schemeClr val="accent6">
            <a:alpha val="40000"/>
          </a:schemeClr>
        </a:solidFill>
        <a:ln w="6350" cap="flat" cmpd="sng" algn="ctr">
          <a:noFill/>
          <a:prstDash val="solid"/>
          <a:miter lim="800000"/>
        </a:ln>
        <a:effectLst>
          <a:outerShdw blurRad="40000" dist="23000" dir="5400000" rotWithShape="0">
            <a:srgbClr val="000000">
              <a:alpha val="35000"/>
            </a:srgbClr>
          </a:outerShdw>
        </a:effectLst>
      </dsp:spPr>
      <dsp:style>
        <a:lnRef idx="1">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en-GB" sz="800" b="1" kern="1200">
              <a:solidFill>
                <a:sysClr val="window" lastClr="FFFFFF"/>
              </a:solidFill>
              <a:latin typeface="Calibri"/>
              <a:ea typeface="+mn-ea"/>
              <a:cs typeface="+mn-cs"/>
            </a:rPr>
            <a:t>ICB policies: Password Policy; IT Clear Screen and Desk Policy; IT Acceptable Use Policy</a:t>
          </a:r>
        </a:p>
      </dsp:txBody>
      <dsp:txXfrm>
        <a:off x="4962835" y="2496136"/>
        <a:ext cx="638946" cy="137369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Healthier Together with ICB document">
      <a:dk1>
        <a:srgbClr val="1C1F63"/>
      </a:dk1>
      <a:lt1>
        <a:sysClr val="window" lastClr="FFFFFF"/>
      </a:lt1>
      <a:dk2>
        <a:srgbClr val="44546A"/>
      </a:dk2>
      <a:lt2>
        <a:srgbClr val="E7E6E6"/>
      </a:lt2>
      <a:accent1>
        <a:srgbClr val="1C1F63"/>
      </a:accent1>
      <a:accent2>
        <a:srgbClr val="075EDB"/>
      </a:accent2>
      <a:accent3>
        <a:srgbClr val="1C1F63"/>
      </a:accent3>
      <a:accent4>
        <a:srgbClr val="075EDB"/>
      </a:accent4>
      <a:accent5>
        <a:srgbClr val="1C1F63"/>
      </a:accent5>
      <a:accent6>
        <a:srgbClr val="075EDB"/>
      </a:accent6>
      <a:hlink>
        <a:srgbClr val="075EDB"/>
      </a:hlink>
      <a:folHlink>
        <a:srgbClr val="8605E4"/>
      </a:folHlink>
    </a:clrScheme>
    <a:fontScheme name="Healthier Together">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481131a-5ef9-4c1f-b17b-99b9c4b05bfc">
      <Terms xmlns="http://schemas.microsoft.com/office/infopath/2007/PartnerControls"/>
    </lcf76f155ced4ddcb4097134ff3c332f>
    <TaxCatchAll xmlns="321487e1-d70a-4ac7-a45d-cb1aeb6d772e" xsi:nil="true"/>
    <SharedWithUsers xmlns="321487e1-d70a-4ac7-a45d-cb1aeb6d772e">
      <UserInfo>
        <DisplayName>SMITH, Rebekah (NHS BRISTOL, NORTH SOMERSET AND SOUTH GLOUCESTERSHIRE ICB - 15C)</DisplayName>
        <AccountId>64</AccountId>
        <AccountType/>
      </UserInfo>
      <UserInfo>
        <DisplayName>BALLOCH, Becky (NHS BRISTOL, NORTH SOMERSET AND SOUTH GLOUCESTERSHIRE ICB - 15C)</DisplayName>
        <AccountId>40</AccountId>
        <AccountType/>
      </UserInfo>
      <UserInfo>
        <DisplayName>BOND, Jennifer (NHS BRISTOL, NORTH SOMERSET AND SOUTH GLOUCESTERSHIRE ICB - 15C)</DisplayName>
        <AccountId>93</AccountId>
        <AccountType/>
      </UserInfo>
      <UserInfo>
        <DisplayName>WOODSTOCK, Jade (NHS BRISTOL, NORTH SOMERSET AND SOUTH GLOUCESTERSHIRE ICB - 15C)</DisplayName>
        <AccountId>341</AccountId>
        <AccountType/>
      </UserInfo>
      <UserInfo>
        <DisplayName>HAVERGAL, Naomi (NHS BRISTOL, NORTH SOMERSET AND SOUTH GLOUCESTERSHIRE ICB - 15C)</DisplayName>
        <AccountId>65</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3227FA4040FC24A80A63F4C2205E1CD" ma:contentTypeVersion="16" ma:contentTypeDescription="Create a new document." ma:contentTypeScope="" ma:versionID="863989d41c3f6d4bf26cb3400801d13a">
  <xsd:schema xmlns:xsd="http://www.w3.org/2001/XMLSchema" xmlns:xs="http://www.w3.org/2001/XMLSchema" xmlns:p="http://schemas.microsoft.com/office/2006/metadata/properties" xmlns:ns2="9481131a-5ef9-4c1f-b17b-99b9c4b05bfc" xmlns:ns3="321487e1-d70a-4ac7-a45d-cb1aeb6d772e" targetNamespace="http://schemas.microsoft.com/office/2006/metadata/properties" ma:root="true" ma:fieldsID="5c90ab8f5065901e82a2cf77f49cff08" ns2:_="" ns3:_="">
    <xsd:import namespace="9481131a-5ef9-4c1f-b17b-99b9c4b05bfc"/>
    <xsd:import namespace="321487e1-d70a-4ac7-a45d-cb1aeb6d772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81131a-5ef9-4c1f-b17b-99b9c4b05b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1487e1-d70a-4ac7-a45d-cb1aeb6d772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828cb318-8806-40fa-b3cd-d3ee06e44939}" ma:internalName="TaxCatchAll" ma:showField="CatchAllData" ma:web="321487e1-d70a-4ac7-a45d-cb1aeb6d772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9B4711C-A410-452D-9C4D-F8F4CBD2A4AC}">
  <ds:schemaRefs>
    <ds:schemaRef ds:uri="http://schemas.microsoft.com/office/2006/documentManagement/types"/>
    <ds:schemaRef ds:uri="321487e1-d70a-4ac7-a45d-cb1aeb6d772e"/>
    <ds:schemaRef ds:uri="9481131a-5ef9-4c1f-b17b-99b9c4b05bfc"/>
    <ds:schemaRef ds:uri="http://schemas.openxmlformats.org/package/2006/metadata/core-properties"/>
    <ds:schemaRef ds:uri="http://schemas.microsoft.com/office/infopath/2007/PartnerControls"/>
    <ds:schemaRef ds:uri="http://purl.org/dc/terms/"/>
    <ds:schemaRef ds:uri="http://schemas.microsoft.com/office/2006/metadata/properties"/>
    <ds:schemaRef ds:uri="http://purl.org/dc/elements/1.1/"/>
    <ds:schemaRef ds:uri="http://www.w3.org/XML/1998/namespace"/>
    <ds:schemaRef ds:uri="http://purl.org/dc/dcmitype/"/>
  </ds:schemaRefs>
</ds:datastoreItem>
</file>

<file path=customXml/itemProps2.xml><?xml version="1.0" encoding="utf-8"?>
<ds:datastoreItem xmlns:ds="http://schemas.openxmlformats.org/officeDocument/2006/customXml" ds:itemID="{828C2806-087E-4D4B-99AC-D3973484AF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81131a-5ef9-4c1f-b17b-99b9c4b05bfc"/>
    <ds:schemaRef ds:uri="321487e1-d70a-4ac7-a45d-cb1aeb6d77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37B5799-EDC9-45EC-908B-137B3B001684}">
  <ds:schemaRefs>
    <ds:schemaRef ds:uri="http://schemas.openxmlformats.org/officeDocument/2006/bibliography"/>
  </ds:schemaRefs>
</ds:datastoreItem>
</file>

<file path=customXml/itemProps4.xml><?xml version="1.0" encoding="utf-8"?>
<ds:datastoreItem xmlns:ds="http://schemas.openxmlformats.org/officeDocument/2006/customXml" ds:itemID="{3EB5CA97-A5E1-42C1-85D5-5D9F5920563C}">
  <ds:schemaRefs>
    <ds:schemaRef ds:uri="http://schemas.microsoft.com/sharepoint/v3/contenttype/forms"/>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Normal.dotm</Template>
  <TotalTime>2</TotalTime>
  <Pages>16</Pages>
  <Words>3789</Words>
  <Characters>24105</Characters>
  <Application>Microsoft Office Word</Application>
  <DocSecurity>4</DocSecurity>
  <Lines>200</Lines>
  <Paragraphs>55</Paragraphs>
  <ScaleCrop>false</ScaleCrop>
  <HeadingPairs>
    <vt:vector size="2" baseType="variant">
      <vt:variant>
        <vt:lpstr>Title</vt:lpstr>
      </vt:variant>
      <vt:variant>
        <vt:i4>1</vt:i4>
      </vt:variant>
    </vt:vector>
  </HeadingPairs>
  <TitlesOfParts>
    <vt:vector size="1" baseType="lpstr">
      <vt:lpstr>blank template January 2019</vt:lpstr>
    </vt:vector>
  </TitlesOfParts>
  <Company/>
  <LinksUpToDate>false</LinksUpToDate>
  <CharactersWithSpaces>27839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blank template January 2019</dc:title>
  <dc:subject/>
  <dc:creator>Suvidha Bane</dc:creator>
  <cp:keywords/>
  <dc:description/>
  <cp:lastModifiedBy>GANE, Alison (NHS SOUTH, CENTRAL AND WEST COMMISSIONING SUPPORT UNIT)</cp:lastModifiedBy>
  <cp:revision>2</cp:revision>
  <dcterms:created xsi:type="dcterms:W3CDTF">2024-09-10T11:57:00Z</dcterms:created>
  <dcterms:modified xsi:type="dcterms:W3CDTF">2024-09-10T11:57:00Z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0x01010013227FA4040FC24A80A63F4C2205E1CD</vt:lpwstr>
  </property>
  <property fmtid="{D5CDD505-2E9C-101B-9397-08002B2CF9AE}" pid="3" name="MediaServiceImageTags">
    <vt:lpwstr/>
  </property>
  <property fmtid="{D5CDD505-2E9C-101B-9397-08002B2CF9AE}" pid="4" name="GrammarlyDocumentId">
    <vt:lpwstr>b4fbf4a65f7d1ddef991659c2269215d36314399cb6f44e612cc251d93e63e58</vt:lpwstr>
  </property>
</Properties>
</file>